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2BC" w:rsidRDefault="00012D75" w:rsidP="007F42BC">
      <w:pPr>
        <w:jc w:val="center"/>
        <w:rPr>
          <w:rFonts w:ascii="Times New Roman" w:hAnsi="Times New Roman" w:cs="Times New Roman"/>
          <w:b/>
          <w:i/>
          <w:sz w:val="52"/>
          <w:szCs w:val="52"/>
          <w:u w:val="single"/>
        </w:rPr>
      </w:pPr>
      <w:r>
        <w:rPr>
          <w:rFonts w:ascii="Times New Roman" w:hAnsi="Times New Roman" w:cs="Times New Roman"/>
          <w:b/>
          <w:i/>
          <w:sz w:val="52"/>
          <w:szCs w:val="52"/>
          <w:u w:val="single"/>
        </w:rPr>
        <w:t>P</w:t>
      </w:r>
      <w:r w:rsidR="007F42BC" w:rsidRPr="00E87D39">
        <w:rPr>
          <w:rFonts w:ascii="Times New Roman" w:hAnsi="Times New Roman" w:cs="Times New Roman"/>
          <w:b/>
          <w:i/>
          <w:sz w:val="52"/>
          <w:szCs w:val="52"/>
          <w:u w:val="single"/>
        </w:rPr>
        <w:t>rotokol o určení vnějších vlivů</w:t>
      </w:r>
    </w:p>
    <w:p w:rsidR="00012D75" w:rsidRDefault="00012D75" w:rsidP="007F42BC">
      <w:pPr>
        <w:jc w:val="center"/>
        <w:rPr>
          <w:rFonts w:ascii="Times New Roman" w:hAnsi="Times New Roman" w:cs="Times New Roman"/>
          <w:b/>
          <w:i/>
          <w:sz w:val="52"/>
          <w:szCs w:val="52"/>
          <w:u w:val="single"/>
        </w:rPr>
      </w:pPr>
      <w:r>
        <w:rPr>
          <w:rFonts w:ascii="Times New Roman" w:hAnsi="Times New Roman" w:cs="Times New Roman"/>
          <w:b/>
          <w:i/>
          <w:sz w:val="52"/>
          <w:szCs w:val="52"/>
          <w:u w:val="single"/>
        </w:rPr>
        <w:t xml:space="preserve">č. </w:t>
      </w:r>
      <w:r w:rsidR="008F7E4D">
        <w:rPr>
          <w:rFonts w:ascii="Times New Roman" w:hAnsi="Times New Roman" w:cs="Times New Roman"/>
          <w:b/>
          <w:i/>
          <w:sz w:val="52"/>
          <w:szCs w:val="52"/>
          <w:u w:val="single"/>
        </w:rPr>
        <w:t>15</w:t>
      </w:r>
      <w:r w:rsidR="00E86564">
        <w:rPr>
          <w:rFonts w:ascii="Times New Roman" w:hAnsi="Times New Roman" w:cs="Times New Roman"/>
          <w:b/>
          <w:i/>
          <w:sz w:val="52"/>
          <w:szCs w:val="52"/>
          <w:u w:val="single"/>
        </w:rPr>
        <w:t>9</w:t>
      </w:r>
      <w:r w:rsidR="008274F4">
        <w:rPr>
          <w:rFonts w:ascii="Times New Roman" w:hAnsi="Times New Roman" w:cs="Times New Roman"/>
          <w:b/>
          <w:i/>
          <w:sz w:val="52"/>
          <w:szCs w:val="52"/>
          <w:u w:val="single"/>
        </w:rPr>
        <w:t>-25</w:t>
      </w:r>
    </w:p>
    <w:p w:rsidR="00012D75" w:rsidRPr="00012D75" w:rsidRDefault="00012D75" w:rsidP="00012D75">
      <w:pPr>
        <w:pBdr>
          <w:bottom w:val="single" w:sz="6" w:space="1" w:color="auto"/>
        </w:pBdr>
        <w:spacing w:after="0" w:line="240" w:lineRule="auto"/>
        <w:jc w:val="center"/>
        <w:rPr>
          <w:rFonts w:cs="Arial"/>
          <w:color w:val="auto"/>
          <w:sz w:val="22"/>
        </w:rPr>
      </w:pPr>
      <w:r w:rsidRPr="00012D75">
        <w:rPr>
          <w:rFonts w:cs="Arial"/>
          <w:color w:val="auto"/>
          <w:sz w:val="22"/>
        </w:rPr>
        <w:t>vypracovaný odbornou komisí</w:t>
      </w:r>
    </w:p>
    <w:p w:rsidR="00146892" w:rsidRDefault="00146892" w:rsidP="00A631E6">
      <w:pPr>
        <w:pStyle w:val="Zkladntext"/>
        <w:spacing w:line="240" w:lineRule="atLeast"/>
        <w:jc w:val="center"/>
        <w:rPr>
          <w:rFonts w:ascii="Arial" w:hAnsi="Arial"/>
          <w:i/>
          <w:color w:val="002060"/>
          <w:sz w:val="22"/>
        </w:rPr>
      </w:pPr>
    </w:p>
    <w:tbl>
      <w:tblPr>
        <w:tblW w:w="9845" w:type="dxa"/>
        <w:tblInd w:w="40" w:type="dxa"/>
        <w:tblLayout w:type="fixed"/>
        <w:tblCellMar>
          <w:left w:w="70" w:type="dxa"/>
          <w:right w:w="70" w:type="dxa"/>
        </w:tblCellMar>
        <w:tblLook w:val="0000"/>
      </w:tblPr>
      <w:tblGrid>
        <w:gridCol w:w="2021"/>
        <w:gridCol w:w="7824"/>
      </w:tblGrid>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Akce:</w:t>
            </w:r>
          </w:p>
        </w:tc>
        <w:tc>
          <w:tcPr>
            <w:tcW w:w="7824" w:type="dxa"/>
            <w:tcBorders>
              <w:top w:val="nil"/>
              <w:left w:val="nil"/>
              <w:bottom w:val="nil"/>
              <w:right w:val="nil"/>
            </w:tcBorders>
          </w:tcPr>
          <w:p w:rsidR="008F7E4D" w:rsidRPr="005D52B9" w:rsidRDefault="008F7E4D" w:rsidP="00E86564">
            <w:pPr>
              <w:autoSpaceDE w:val="0"/>
              <w:autoSpaceDN w:val="0"/>
              <w:adjustRightInd w:val="0"/>
              <w:rPr>
                <w:rFonts w:ascii="Calibri Light" w:hAnsi="Calibri Light" w:cs="Calibri Light"/>
                <w:b/>
                <w:bCs/>
                <w:i/>
                <w:iCs/>
                <w:color w:val="auto"/>
                <w:sz w:val="22"/>
              </w:rPr>
            </w:pPr>
            <w:r w:rsidRPr="008F7E4D">
              <w:rPr>
                <w:rFonts w:ascii="Calibri Light" w:hAnsi="Calibri Light" w:cs="Calibri Light"/>
                <w:b/>
                <w:bCs/>
                <w:i/>
                <w:iCs/>
                <w:color w:val="auto"/>
                <w:sz w:val="22"/>
              </w:rPr>
              <w:t xml:space="preserve">OPRAVA BYTOVÉ JEDNOTKY č. </w:t>
            </w:r>
            <w:r w:rsidR="00E86564">
              <w:rPr>
                <w:rFonts w:ascii="Calibri Light" w:hAnsi="Calibri Light" w:cs="Calibri Light"/>
                <w:b/>
                <w:bCs/>
                <w:i/>
                <w:iCs/>
                <w:color w:val="auto"/>
                <w:sz w:val="22"/>
              </w:rPr>
              <w:t>45</w:t>
            </w:r>
            <w:r w:rsidRPr="008F7E4D">
              <w:rPr>
                <w:rFonts w:ascii="Calibri Light" w:hAnsi="Calibri Light" w:cs="Calibri Light"/>
                <w:b/>
                <w:bCs/>
                <w:i/>
                <w:iCs/>
                <w:color w:val="auto"/>
                <w:sz w:val="22"/>
              </w:rPr>
              <w:t>, Čsl. armády 445/22, Šumperk</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SO/PS:</w:t>
            </w:r>
          </w:p>
        </w:tc>
        <w:tc>
          <w:tcPr>
            <w:tcW w:w="7824" w:type="dxa"/>
            <w:tcBorders>
              <w:top w:val="nil"/>
              <w:left w:val="nil"/>
              <w:bottom w:val="nil"/>
              <w:right w:val="nil"/>
            </w:tcBorders>
          </w:tcPr>
          <w:p w:rsidR="008F7E4D" w:rsidRPr="005D52B9" w:rsidRDefault="008F7E4D" w:rsidP="008F7E4D">
            <w:pPr>
              <w:autoSpaceDE w:val="0"/>
              <w:autoSpaceDN w:val="0"/>
              <w:adjustRightInd w:val="0"/>
              <w:rPr>
                <w:rFonts w:ascii="Calibri Light" w:hAnsi="Calibri Light" w:cs="Calibri Light"/>
                <w:b/>
                <w:bCs/>
                <w:i/>
                <w:iCs/>
                <w:color w:val="auto"/>
                <w:sz w:val="22"/>
              </w:rPr>
            </w:pPr>
            <w:r w:rsidRPr="00A05D5D">
              <w:rPr>
                <w:rFonts w:ascii="Calibri Light" w:hAnsi="Calibri Light" w:cs="Calibri Light"/>
                <w:b/>
                <w:bCs/>
                <w:i/>
                <w:iCs/>
                <w:color w:val="auto"/>
                <w:sz w:val="22"/>
              </w:rPr>
              <w:t xml:space="preserve">D.1.2.5 - TPS </w:t>
            </w:r>
            <w:r>
              <w:rPr>
                <w:rFonts w:ascii="Calibri Light" w:hAnsi="Calibri Light" w:cs="Calibri Light"/>
                <w:b/>
                <w:bCs/>
                <w:i/>
                <w:iCs/>
                <w:color w:val="auto"/>
                <w:sz w:val="22"/>
              </w:rPr>
              <w:t>–</w:t>
            </w:r>
            <w:r w:rsidRPr="00A05D5D">
              <w:rPr>
                <w:rFonts w:ascii="Calibri Light" w:hAnsi="Calibri Light" w:cs="Calibri Light"/>
                <w:b/>
                <w:bCs/>
                <w:i/>
                <w:iCs/>
                <w:color w:val="auto"/>
                <w:sz w:val="22"/>
              </w:rPr>
              <w:t xml:space="preserve"> Silnoproud</w:t>
            </w:r>
            <w:r>
              <w:rPr>
                <w:rFonts w:ascii="Calibri Light" w:hAnsi="Calibri Light" w:cs="Calibri Light"/>
                <w:b/>
                <w:bCs/>
                <w:i/>
                <w:iCs/>
                <w:color w:val="auto"/>
                <w:sz w:val="22"/>
              </w:rPr>
              <w:t xml:space="preserve"> </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Zakázka číslo:</w:t>
            </w:r>
          </w:p>
        </w:tc>
        <w:tc>
          <w:tcPr>
            <w:tcW w:w="7824" w:type="dxa"/>
            <w:tcBorders>
              <w:top w:val="nil"/>
              <w:left w:val="nil"/>
              <w:bottom w:val="nil"/>
              <w:right w:val="nil"/>
            </w:tcBorders>
          </w:tcPr>
          <w:p w:rsidR="008F7E4D" w:rsidRPr="005D52B9" w:rsidRDefault="008F7E4D" w:rsidP="00E86564">
            <w:pPr>
              <w:autoSpaceDE w:val="0"/>
              <w:autoSpaceDN w:val="0"/>
              <w:adjustRightInd w:val="0"/>
              <w:rPr>
                <w:rFonts w:ascii="Calibri Light" w:hAnsi="Calibri Light" w:cs="Calibri Light"/>
                <w:b/>
                <w:bCs/>
                <w:i/>
                <w:iCs/>
                <w:color w:val="auto"/>
                <w:sz w:val="22"/>
              </w:rPr>
            </w:pPr>
            <w:r>
              <w:rPr>
                <w:rFonts w:ascii="Calibri Light" w:hAnsi="Calibri Light" w:cs="Calibri Light"/>
                <w:b/>
                <w:bCs/>
                <w:i/>
                <w:iCs/>
                <w:color w:val="auto"/>
                <w:sz w:val="22"/>
              </w:rPr>
              <w:t>15</w:t>
            </w:r>
            <w:r w:rsidR="00E86564">
              <w:rPr>
                <w:rFonts w:ascii="Calibri Light" w:hAnsi="Calibri Light" w:cs="Calibri Light"/>
                <w:b/>
                <w:bCs/>
                <w:i/>
                <w:iCs/>
                <w:color w:val="auto"/>
                <w:sz w:val="22"/>
              </w:rPr>
              <w:t>9</w:t>
            </w:r>
            <w:r>
              <w:rPr>
                <w:rFonts w:ascii="Calibri Light" w:hAnsi="Calibri Light" w:cs="Calibri Light"/>
                <w:b/>
                <w:bCs/>
                <w:i/>
                <w:iCs/>
                <w:color w:val="auto"/>
                <w:sz w:val="22"/>
              </w:rPr>
              <w:t>-25</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Archivní číslo:</w:t>
            </w:r>
          </w:p>
        </w:tc>
        <w:tc>
          <w:tcPr>
            <w:tcW w:w="7824" w:type="dxa"/>
            <w:tcBorders>
              <w:top w:val="nil"/>
              <w:left w:val="nil"/>
              <w:bottom w:val="nil"/>
              <w:right w:val="nil"/>
            </w:tcBorders>
          </w:tcPr>
          <w:p w:rsidR="008F7E4D" w:rsidRPr="005D52B9" w:rsidRDefault="008F7E4D" w:rsidP="00E86564">
            <w:pPr>
              <w:autoSpaceDE w:val="0"/>
              <w:autoSpaceDN w:val="0"/>
              <w:adjustRightInd w:val="0"/>
              <w:rPr>
                <w:rFonts w:ascii="Calibri Light" w:hAnsi="Calibri Light" w:cs="Calibri Light"/>
                <w:b/>
                <w:bCs/>
                <w:i/>
                <w:iCs/>
                <w:color w:val="auto"/>
                <w:sz w:val="22"/>
              </w:rPr>
            </w:pPr>
            <w:r w:rsidRPr="0060217C">
              <w:rPr>
                <w:rFonts w:ascii="Calibri Light" w:hAnsi="Calibri Light" w:cs="Calibri Light"/>
                <w:b/>
                <w:bCs/>
                <w:i/>
                <w:iCs/>
                <w:color w:val="auto"/>
                <w:sz w:val="22"/>
              </w:rPr>
              <w:t>MA-1</w:t>
            </w:r>
            <w:r>
              <w:rPr>
                <w:rFonts w:ascii="Calibri Light" w:hAnsi="Calibri Light" w:cs="Calibri Light"/>
                <w:b/>
                <w:bCs/>
                <w:i/>
                <w:iCs/>
                <w:color w:val="auto"/>
                <w:sz w:val="22"/>
              </w:rPr>
              <w:t>5</w:t>
            </w:r>
            <w:r w:rsidR="00E86564">
              <w:rPr>
                <w:rFonts w:ascii="Calibri Light" w:hAnsi="Calibri Light" w:cs="Calibri Light"/>
                <w:b/>
                <w:bCs/>
                <w:i/>
                <w:iCs/>
                <w:color w:val="auto"/>
                <w:sz w:val="22"/>
              </w:rPr>
              <w:t>9</w:t>
            </w:r>
            <w:r w:rsidRPr="0060217C">
              <w:rPr>
                <w:rFonts w:ascii="Calibri Light" w:hAnsi="Calibri Light" w:cs="Calibri Light"/>
                <w:b/>
                <w:bCs/>
                <w:i/>
                <w:iCs/>
                <w:color w:val="auto"/>
                <w:sz w:val="22"/>
              </w:rPr>
              <w:t>-25-D.1.2.5-0</w:t>
            </w:r>
            <w:r>
              <w:rPr>
                <w:rFonts w:ascii="Calibri Light" w:hAnsi="Calibri Light" w:cs="Calibri Light"/>
                <w:b/>
                <w:bCs/>
                <w:i/>
                <w:iCs/>
                <w:color w:val="auto"/>
                <w:sz w:val="22"/>
              </w:rPr>
              <w:t>2</w:t>
            </w:r>
          </w:p>
        </w:tc>
      </w:tr>
      <w:tr w:rsidR="008F7E4D" w:rsidRPr="005D52B9" w:rsidTr="00516974">
        <w:trPr>
          <w:trHeight w:val="293"/>
        </w:trPr>
        <w:tc>
          <w:tcPr>
            <w:tcW w:w="2021" w:type="dxa"/>
            <w:tcBorders>
              <w:top w:val="nil"/>
              <w:left w:val="nil"/>
              <w:bottom w:val="nil"/>
              <w:right w:val="nil"/>
            </w:tcBorders>
          </w:tcPr>
          <w:p w:rsidR="008F7E4D" w:rsidRPr="00614041" w:rsidRDefault="008F7E4D" w:rsidP="00516974">
            <w:pPr>
              <w:autoSpaceDE w:val="0"/>
              <w:autoSpaceDN w:val="0"/>
              <w:adjustRightInd w:val="0"/>
              <w:rPr>
                <w:rFonts w:ascii="Calibri Light" w:hAnsi="Calibri Light" w:cs="Calibri Light"/>
                <w:b/>
                <w:bCs/>
                <w:i/>
                <w:iCs/>
                <w:color w:val="auto"/>
                <w:sz w:val="22"/>
              </w:rPr>
            </w:pPr>
            <w:r w:rsidRPr="00614041">
              <w:rPr>
                <w:rFonts w:ascii="Calibri Light" w:hAnsi="Calibri Light" w:cs="Calibri Light"/>
                <w:b/>
                <w:bCs/>
                <w:i/>
                <w:iCs/>
                <w:color w:val="auto"/>
                <w:sz w:val="22"/>
              </w:rPr>
              <w:t>Investor:</w:t>
            </w:r>
          </w:p>
        </w:tc>
        <w:tc>
          <w:tcPr>
            <w:tcW w:w="7824" w:type="dxa"/>
            <w:tcBorders>
              <w:top w:val="nil"/>
              <w:left w:val="nil"/>
              <w:bottom w:val="nil"/>
              <w:right w:val="nil"/>
            </w:tcBorders>
          </w:tcPr>
          <w:p w:rsidR="008F7E4D" w:rsidRPr="005D52B9" w:rsidRDefault="008F7E4D" w:rsidP="00516974">
            <w:pPr>
              <w:autoSpaceDE w:val="0"/>
              <w:autoSpaceDN w:val="0"/>
              <w:adjustRightInd w:val="0"/>
              <w:rPr>
                <w:rFonts w:ascii="Calibri Light" w:hAnsi="Calibri Light" w:cs="Calibri Light"/>
                <w:b/>
                <w:bCs/>
                <w:i/>
                <w:iCs/>
                <w:color w:val="auto"/>
                <w:sz w:val="22"/>
              </w:rPr>
            </w:pPr>
            <w:r w:rsidRPr="008F7E4D">
              <w:rPr>
                <w:rFonts w:ascii="Calibri Light" w:hAnsi="Calibri Light" w:cs="Calibri Light"/>
                <w:b/>
                <w:bCs/>
                <w:i/>
                <w:iCs/>
                <w:color w:val="auto"/>
                <w:sz w:val="22"/>
              </w:rPr>
              <w:t>Město Šumperk, náměstí Míru 1, 787 01 Šumperk</w:t>
            </w:r>
          </w:p>
        </w:tc>
      </w:tr>
    </w:tbl>
    <w:p w:rsidR="008F7E4D" w:rsidRDefault="008F7E4D" w:rsidP="005B7175">
      <w:pPr>
        <w:rPr>
          <w:rFonts w:cstheme="minorHAnsi"/>
          <w:b/>
          <w:i/>
          <w:sz w:val="24"/>
          <w:szCs w:val="24"/>
        </w:rPr>
      </w:pPr>
    </w:p>
    <w:p w:rsidR="00025FF7" w:rsidRPr="005B7175" w:rsidRDefault="00146892" w:rsidP="005B7175">
      <w:pPr>
        <w:rPr>
          <w:rFonts w:cstheme="minorHAnsi"/>
          <w:b/>
          <w:i/>
          <w:sz w:val="24"/>
          <w:szCs w:val="24"/>
        </w:rPr>
      </w:pPr>
      <w:r>
        <w:rPr>
          <w:rFonts w:cstheme="minorHAnsi"/>
          <w:b/>
          <w:i/>
          <w:sz w:val="24"/>
          <w:szCs w:val="24"/>
        </w:rPr>
        <w:t>S</w:t>
      </w:r>
      <w:r w:rsidR="005B7175" w:rsidRPr="005B7175">
        <w:rPr>
          <w:rFonts w:cstheme="minorHAnsi"/>
          <w:b/>
          <w:i/>
          <w:sz w:val="24"/>
          <w:szCs w:val="24"/>
        </w:rPr>
        <w:t>ložení komise:</w:t>
      </w:r>
    </w:p>
    <w:tbl>
      <w:tblPr>
        <w:tblW w:w="8798" w:type="dxa"/>
        <w:tblInd w:w="60" w:type="dxa"/>
        <w:tblCellMar>
          <w:left w:w="70" w:type="dxa"/>
          <w:right w:w="70" w:type="dxa"/>
        </w:tblCellMar>
        <w:tblLook w:val="04A0"/>
      </w:tblPr>
      <w:tblGrid>
        <w:gridCol w:w="3418"/>
        <w:gridCol w:w="2840"/>
        <w:gridCol w:w="2540"/>
      </w:tblGrid>
      <w:tr w:rsidR="005B7175" w:rsidRPr="005B7175" w:rsidTr="005B7175">
        <w:trPr>
          <w:trHeight w:val="304"/>
        </w:trPr>
        <w:tc>
          <w:tcPr>
            <w:tcW w:w="3418" w:type="dxa"/>
            <w:tcBorders>
              <w:top w:val="single" w:sz="8" w:space="0" w:color="000000"/>
              <w:left w:val="single" w:sz="8" w:space="0" w:color="000000"/>
              <w:bottom w:val="single" w:sz="4" w:space="0" w:color="auto"/>
              <w:right w:val="single" w:sz="4" w:space="0" w:color="auto"/>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Předseda</w:t>
            </w:r>
          </w:p>
        </w:tc>
        <w:tc>
          <w:tcPr>
            <w:tcW w:w="2840" w:type="dxa"/>
            <w:tcBorders>
              <w:top w:val="single" w:sz="8" w:space="0" w:color="000000"/>
              <w:left w:val="nil"/>
              <w:bottom w:val="single" w:sz="4" w:space="0" w:color="auto"/>
              <w:right w:val="single" w:sz="4" w:space="0" w:color="auto"/>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Jméno</w:t>
            </w:r>
          </w:p>
        </w:tc>
        <w:tc>
          <w:tcPr>
            <w:tcW w:w="2540" w:type="dxa"/>
            <w:tcBorders>
              <w:top w:val="single" w:sz="8" w:space="0" w:color="000000"/>
              <w:left w:val="nil"/>
              <w:bottom w:val="single" w:sz="4" w:space="0" w:color="auto"/>
              <w:right w:val="single" w:sz="8" w:space="0" w:color="000000"/>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Podpis</w:t>
            </w:r>
            <w:r>
              <w:rPr>
                <w:rFonts w:ascii="Calibri" w:eastAsia="Times New Roman" w:hAnsi="Calibri" w:cs="Calibri"/>
                <w:b/>
                <w:bCs/>
                <w:color w:val="000000"/>
                <w:lang w:eastAsia="cs-CZ"/>
              </w:rPr>
              <w:t xml:space="preserve">                  </w:t>
            </w:r>
          </w:p>
        </w:tc>
      </w:tr>
      <w:tr w:rsidR="005B7175" w:rsidRPr="005B7175" w:rsidTr="005B7175">
        <w:trPr>
          <w:trHeight w:val="111"/>
        </w:trPr>
        <w:tc>
          <w:tcPr>
            <w:tcW w:w="8798" w:type="dxa"/>
            <w:gridSpan w:val="3"/>
            <w:tcBorders>
              <w:top w:val="single" w:sz="4" w:space="0" w:color="auto"/>
              <w:left w:val="single" w:sz="8" w:space="0" w:color="000000"/>
              <w:bottom w:val="single" w:sz="4" w:space="0" w:color="auto"/>
              <w:right w:val="single" w:sz="8" w:space="0" w:color="000000"/>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color w:val="000000"/>
                <w:lang w:eastAsia="cs-CZ"/>
              </w:rPr>
            </w:pPr>
            <w:r w:rsidRPr="005B7175">
              <w:rPr>
                <w:rFonts w:ascii="Calibri" w:eastAsia="Times New Roman" w:hAnsi="Calibri" w:cs="Calibri"/>
                <w:color w:val="000000"/>
                <w:lang w:eastAsia="cs-CZ"/>
              </w:rPr>
              <w:t> </w:t>
            </w:r>
          </w:p>
        </w:tc>
      </w:tr>
      <w:tr w:rsidR="005B7175" w:rsidRPr="005B7175" w:rsidTr="005B7175">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5B7175" w:rsidRPr="005B7175" w:rsidRDefault="00EA4BC1" w:rsidP="008608A2">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Za stavebníka</w:t>
            </w:r>
            <w:r w:rsidR="008F7E4D">
              <w:rPr>
                <w:rFonts w:ascii="Calibri" w:eastAsia="Times New Roman" w:hAnsi="Calibri" w:cs="Calibri"/>
                <w:color w:val="000000"/>
                <w:lang w:eastAsia="cs-CZ"/>
              </w:rPr>
              <w:t xml:space="preserve"> (provozovatele)</w:t>
            </w:r>
          </w:p>
        </w:tc>
        <w:tc>
          <w:tcPr>
            <w:tcW w:w="2840" w:type="dxa"/>
            <w:tcBorders>
              <w:top w:val="nil"/>
              <w:left w:val="nil"/>
              <w:bottom w:val="single" w:sz="8" w:space="0" w:color="000000"/>
              <w:right w:val="single" w:sz="4" w:space="0" w:color="auto"/>
            </w:tcBorders>
            <w:shd w:val="clear" w:color="auto" w:fill="auto"/>
            <w:noWrap/>
            <w:vAlign w:val="center"/>
            <w:hideMark/>
          </w:tcPr>
          <w:p w:rsidR="005B7175" w:rsidRPr="00EA4BC1" w:rsidRDefault="00EA4BC1" w:rsidP="00EA4BC1">
            <w:pPr>
              <w:spacing w:after="0" w:line="240" w:lineRule="auto"/>
              <w:jc w:val="center"/>
              <w:rPr>
                <w:rFonts w:asciiTheme="minorHAnsi" w:eastAsia="Times New Roman" w:hAnsiTheme="minorHAnsi" w:cstheme="minorHAnsi"/>
                <w:color w:val="auto"/>
                <w:szCs w:val="18"/>
                <w:lang w:eastAsia="cs-CZ"/>
              </w:rPr>
            </w:pPr>
            <w:r w:rsidRPr="00EA4BC1">
              <w:rPr>
                <w:rFonts w:asciiTheme="minorHAnsi" w:hAnsiTheme="minorHAnsi" w:cstheme="minorHAnsi"/>
                <w:bCs/>
                <w:color w:val="auto"/>
                <w:szCs w:val="18"/>
              </w:rPr>
              <w:t>Ing. Lenka Salcburgerová</w:t>
            </w:r>
          </w:p>
        </w:tc>
        <w:tc>
          <w:tcPr>
            <w:tcW w:w="2540" w:type="dxa"/>
            <w:tcBorders>
              <w:top w:val="nil"/>
              <w:left w:val="nil"/>
              <w:bottom w:val="single" w:sz="8" w:space="0" w:color="000000"/>
              <w:right w:val="single" w:sz="8" w:space="0" w:color="000000"/>
            </w:tcBorders>
            <w:shd w:val="clear" w:color="auto" w:fill="auto"/>
            <w:noWrap/>
            <w:vAlign w:val="center"/>
            <w:hideMark/>
          </w:tcPr>
          <w:p w:rsidR="005B7175" w:rsidRPr="005B7175" w:rsidRDefault="005B7175" w:rsidP="005B7175">
            <w:pPr>
              <w:spacing w:after="0" w:line="240" w:lineRule="auto"/>
              <w:jc w:val="center"/>
              <w:rPr>
                <w:rFonts w:ascii="Calibri" w:eastAsia="Times New Roman" w:hAnsi="Calibri" w:cs="Calibri"/>
                <w:color w:val="000000"/>
                <w:lang w:eastAsia="cs-CZ"/>
              </w:rPr>
            </w:pPr>
            <w:r w:rsidRPr="005B7175">
              <w:rPr>
                <w:rFonts w:ascii="Calibri" w:eastAsia="Times New Roman" w:hAnsi="Calibri" w:cs="Calibri"/>
                <w:color w:val="000000"/>
                <w:lang w:eastAsia="cs-CZ"/>
              </w:rPr>
              <w:t> </w:t>
            </w:r>
          </w:p>
        </w:tc>
      </w:tr>
    </w:tbl>
    <w:p w:rsidR="00025FF7" w:rsidRDefault="00025FF7" w:rsidP="00025FF7">
      <w:pPr>
        <w:rPr>
          <w:sz w:val="32"/>
          <w:szCs w:val="32"/>
        </w:rPr>
      </w:pPr>
    </w:p>
    <w:tbl>
      <w:tblPr>
        <w:tblW w:w="8798" w:type="dxa"/>
        <w:tblInd w:w="60" w:type="dxa"/>
        <w:tblCellMar>
          <w:left w:w="70" w:type="dxa"/>
          <w:right w:w="70" w:type="dxa"/>
        </w:tblCellMar>
        <w:tblLook w:val="04A0"/>
      </w:tblPr>
      <w:tblGrid>
        <w:gridCol w:w="3418"/>
        <w:gridCol w:w="2840"/>
        <w:gridCol w:w="2540"/>
      </w:tblGrid>
      <w:tr w:rsidR="00346BFC" w:rsidRPr="005B7175" w:rsidTr="00DA3E13">
        <w:trPr>
          <w:trHeight w:val="304"/>
        </w:trPr>
        <w:tc>
          <w:tcPr>
            <w:tcW w:w="3418" w:type="dxa"/>
            <w:tcBorders>
              <w:top w:val="single" w:sz="8" w:space="0" w:color="000000"/>
              <w:left w:val="single" w:sz="8" w:space="0" w:color="000000"/>
              <w:bottom w:val="single" w:sz="4" w:space="0" w:color="auto"/>
              <w:right w:val="single" w:sz="4" w:space="0" w:color="auto"/>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Členové</w:t>
            </w:r>
          </w:p>
        </w:tc>
        <w:tc>
          <w:tcPr>
            <w:tcW w:w="2840" w:type="dxa"/>
            <w:tcBorders>
              <w:top w:val="single" w:sz="8" w:space="0" w:color="000000"/>
              <w:left w:val="nil"/>
              <w:bottom w:val="single" w:sz="4" w:space="0" w:color="auto"/>
              <w:right w:val="single" w:sz="4" w:space="0" w:color="auto"/>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Jméno</w:t>
            </w:r>
          </w:p>
        </w:tc>
        <w:tc>
          <w:tcPr>
            <w:tcW w:w="2540" w:type="dxa"/>
            <w:tcBorders>
              <w:top w:val="single" w:sz="8" w:space="0" w:color="000000"/>
              <w:left w:val="nil"/>
              <w:bottom w:val="single" w:sz="4" w:space="0" w:color="auto"/>
              <w:right w:val="single" w:sz="8" w:space="0" w:color="000000"/>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b/>
                <w:bCs/>
                <w:color w:val="000000"/>
                <w:lang w:eastAsia="cs-CZ"/>
              </w:rPr>
            </w:pPr>
            <w:r w:rsidRPr="005B7175">
              <w:rPr>
                <w:rFonts w:ascii="Calibri" w:eastAsia="Times New Roman" w:hAnsi="Calibri" w:cs="Calibri"/>
                <w:b/>
                <w:bCs/>
                <w:color w:val="000000"/>
                <w:lang w:eastAsia="cs-CZ"/>
              </w:rPr>
              <w:t>Podpis</w:t>
            </w:r>
            <w:r>
              <w:rPr>
                <w:rFonts w:ascii="Calibri" w:eastAsia="Times New Roman" w:hAnsi="Calibri" w:cs="Calibri"/>
                <w:b/>
                <w:bCs/>
                <w:color w:val="000000"/>
                <w:lang w:eastAsia="cs-CZ"/>
              </w:rPr>
              <w:t xml:space="preserve">                  </w:t>
            </w:r>
          </w:p>
        </w:tc>
      </w:tr>
      <w:tr w:rsidR="00346BFC" w:rsidRPr="005B7175" w:rsidTr="00DA3E13">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346BFC" w:rsidRPr="005B7175" w:rsidRDefault="007B3B08" w:rsidP="00EA4BC1">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Profese elekt</w:t>
            </w:r>
            <w:r w:rsidR="00FD1789">
              <w:rPr>
                <w:rFonts w:ascii="Calibri" w:eastAsia="Times New Roman" w:hAnsi="Calibri" w:cs="Calibri"/>
                <w:color w:val="000000"/>
                <w:lang w:eastAsia="cs-CZ"/>
              </w:rPr>
              <w:t>ro – projekt silno</w:t>
            </w:r>
            <w:r w:rsidR="00EA4BC1">
              <w:rPr>
                <w:rFonts w:ascii="Calibri" w:eastAsia="Times New Roman" w:hAnsi="Calibri" w:cs="Calibri"/>
                <w:color w:val="000000"/>
                <w:lang w:eastAsia="cs-CZ"/>
              </w:rPr>
              <w:t>proud</w:t>
            </w:r>
          </w:p>
        </w:tc>
        <w:tc>
          <w:tcPr>
            <w:tcW w:w="2840" w:type="dxa"/>
            <w:tcBorders>
              <w:top w:val="nil"/>
              <w:left w:val="nil"/>
              <w:bottom w:val="single" w:sz="8" w:space="0" w:color="000000"/>
              <w:right w:val="single" w:sz="4" w:space="0" w:color="auto"/>
            </w:tcBorders>
            <w:shd w:val="clear" w:color="auto" w:fill="auto"/>
            <w:noWrap/>
            <w:vAlign w:val="center"/>
            <w:hideMark/>
          </w:tcPr>
          <w:p w:rsidR="00346BFC" w:rsidRPr="005B7175" w:rsidRDefault="007B3B08" w:rsidP="00DA3E13">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Ing. Pavel Matura</w:t>
            </w:r>
          </w:p>
        </w:tc>
        <w:tc>
          <w:tcPr>
            <w:tcW w:w="2540" w:type="dxa"/>
            <w:tcBorders>
              <w:top w:val="nil"/>
              <w:left w:val="nil"/>
              <w:bottom w:val="single" w:sz="8" w:space="0" w:color="000000"/>
              <w:right w:val="single" w:sz="8" w:space="0" w:color="000000"/>
            </w:tcBorders>
            <w:shd w:val="clear" w:color="auto" w:fill="auto"/>
            <w:noWrap/>
            <w:vAlign w:val="center"/>
            <w:hideMark/>
          </w:tcPr>
          <w:p w:rsidR="00346BFC" w:rsidRPr="005B7175" w:rsidRDefault="00346BFC" w:rsidP="00DA3E13">
            <w:pPr>
              <w:spacing w:after="0" w:line="240" w:lineRule="auto"/>
              <w:jc w:val="center"/>
              <w:rPr>
                <w:rFonts w:ascii="Calibri" w:eastAsia="Times New Roman" w:hAnsi="Calibri" w:cs="Calibri"/>
                <w:color w:val="000000"/>
                <w:lang w:eastAsia="cs-CZ"/>
              </w:rPr>
            </w:pPr>
            <w:r w:rsidRPr="005B7175">
              <w:rPr>
                <w:rFonts w:ascii="Calibri" w:eastAsia="Times New Roman" w:hAnsi="Calibri" w:cs="Calibri"/>
                <w:color w:val="000000"/>
                <w:lang w:eastAsia="cs-CZ"/>
              </w:rPr>
              <w:t> </w:t>
            </w:r>
          </w:p>
        </w:tc>
      </w:tr>
      <w:tr w:rsidR="00FA3C16" w:rsidRPr="005B7175" w:rsidTr="00DA3E13">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FA3C16" w:rsidRPr="005B7175" w:rsidRDefault="00FA3C16" w:rsidP="00BD5F74">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Profese stavební – projekt stavby</w:t>
            </w:r>
          </w:p>
        </w:tc>
        <w:tc>
          <w:tcPr>
            <w:tcW w:w="2840" w:type="dxa"/>
            <w:tcBorders>
              <w:top w:val="nil"/>
              <w:left w:val="nil"/>
              <w:bottom w:val="single" w:sz="8" w:space="0" w:color="000000"/>
              <w:right w:val="single" w:sz="4" w:space="0" w:color="auto"/>
            </w:tcBorders>
            <w:shd w:val="clear" w:color="auto" w:fill="auto"/>
            <w:noWrap/>
            <w:vAlign w:val="center"/>
            <w:hideMark/>
          </w:tcPr>
          <w:p w:rsidR="00FA3C16" w:rsidRPr="005B7175" w:rsidRDefault="00FA3C16" w:rsidP="008F7E4D">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Ing. </w:t>
            </w:r>
            <w:r w:rsidR="008F7E4D">
              <w:rPr>
                <w:rFonts w:ascii="Calibri" w:eastAsia="Times New Roman" w:hAnsi="Calibri" w:cs="Calibri"/>
                <w:color w:val="000000"/>
                <w:lang w:eastAsia="cs-CZ"/>
              </w:rPr>
              <w:t>Hana Zárubová</w:t>
            </w:r>
          </w:p>
        </w:tc>
        <w:tc>
          <w:tcPr>
            <w:tcW w:w="2540" w:type="dxa"/>
            <w:tcBorders>
              <w:top w:val="nil"/>
              <w:left w:val="nil"/>
              <w:bottom w:val="single" w:sz="8" w:space="0" w:color="000000"/>
              <w:right w:val="single" w:sz="8" w:space="0" w:color="000000"/>
            </w:tcBorders>
            <w:shd w:val="clear" w:color="auto" w:fill="auto"/>
            <w:noWrap/>
            <w:vAlign w:val="center"/>
            <w:hideMark/>
          </w:tcPr>
          <w:p w:rsidR="00FA3C16" w:rsidRPr="005B7175" w:rsidRDefault="00FA3C16" w:rsidP="00BD5F74">
            <w:pPr>
              <w:spacing w:after="0" w:line="240" w:lineRule="auto"/>
              <w:jc w:val="center"/>
              <w:rPr>
                <w:rFonts w:ascii="Calibri" w:eastAsia="Times New Roman" w:hAnsi="Calibri" w:cs="Calibri"/>
                <w:color w:val="000000"/>
                <w:lang w:eastAsia="cs-CZ"/>
              </w:rPr>
            </w:pPr>
          </w:p>
        </w:tc>
      </w:tr>
      <w:tr w:rsidR="00FA3C16" w:rsidRPr="005B7175" w:rsidTr="00DA3E13">
        <w:trPr>
          <w:trHeight w:val="426"/>
        </w:trPr>
        <w:tc>
          <w:tcPr>
            <w:tcW w:w="3418" w:type="dxa"/>
            <w:tcBorders>
              <w:top w:val="nil"/>
              <w:left w:val="single" w:sz="8" w:space="0" w:color="000000"/>
              <w:bottom w:val="single" w:sz="8" w:space="0" w:color="000000"/>
              <w:right w:val="single" w:sz="4" w:space="0" w:color="auto"/>
            </w:tcBorders>
            <w:shd w:val="clear" w:color="auto" w:fill="auto"/>
            <w:noWrap/>
            <w:vAlign w:val="center"/>
            <w:hideMark/>
          </w:tcPr>
          <w:p w:rsidR="00FA3C16" w:rsidRPr="005B7175" w:rsidRDefault="00FA3C16" w:rsidP="008274F4">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Profese TZB – projekt vytápění</w:t>
            </w:r>
            <w:r w:rsidR="008F7E4D">
              <w:rPr>
                <w:rFonts w:ascii="Calibri" w:eastAsia="Times New Roman" w:hAnsi="Calibri" w:cs="Calibri"/>
                <w:color w:val="000000"/>
                <w:lang w:eastAsia="cs-CZ"/>
              </w:rPr>
              <w:t>, ZTI</w:t>
            </w:r>
          </w:p>
        </w:tc>
        <w:tc>
          <w:tcPr>
            <w:tcW w:w="2840" w:type="dxa"/>
            <w:tcBorders>
              <w:top w:val="nil"/>
              <w:left w:val="nil"/>
              <w:bottom w:val="single" w:sz="8" w:space="0" w:color="000000"/>
              <w:right w:val="single" w:sz="4" w:space="0" w:color="auto"/>
            </w:tcBorders>
            <w:shd w:val="clear" w:color="auto" w:fill="auto"/>
            <w:noWrap/>
            <w:vAlign w:val="center"/>
            <w:hideMark/>
          </w:tcPr>
          <w:p w:rsidR="00FA3C16" w:rsidRPr="005B7175" w:rsidRDefault="008F7E4D" w:rsidP="008274F4">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Ladislav Schertler</w:t>
            </w:r>
          </w:p>
        </w:tc>
        <w:tc>
          <w:tcPr>
            <w:tcW w:w="2540" w:type="dxa"/>
            <w:tcBorders>
              <w:top w:val="nil"/>
              <w:left w:val="nil"/>
              <w:bottom w:val="single" w:sz="8" w:space="0" w:color="000000"/>
              <w:right w:val="single" w:sz="8" w:space="0" w:color="000000"/>
            </w:tcBorders>
            <w:shd w:val="clear" w:color="auto" w:fill="auto"/>
            <w:noWrap/>
            <w:vAlign w:val="center"/>
            <w:hideMark/>
          </w:tcPr>
          <w:p w:rsidR="00FA3C16" w:rsidRPr="005B7175" w:rsidRDefault="00FA3C16" w:rsidP="00DA3E13">
            <w:pPr>
              <w:spacing w:after="0" w:line="240" w:lineRule="auto"/>
              <w:jc w:val="center"/>
              <w:rPr>
                <w:rFonts w:ascii="Calibri" w:eastAsia="Times New Roman" w:hAnsi="Calibri" w:cs="Calibri"/>
                <w:color w:val="000000"/>
                <w:lang w:eastAsia="cs-CZ"/>
              </w:rPr>
            </w:pPr>
          </w:p>
        </w:tc>
      </w:tr>
    </w:tbl>
    <w:p w:rsidR="00D70052" w:rsidRDefault="00D70052" w:rsidP="00506A15">
      <w:pPr>
        <w:pStyle w:val="Zkladntext"/>
        <w:jc w:val="both"/>
        <w:rPr>
          <w:rFonts w:ascii="Arial" w:hAnsi="Arial"/>
          <w:color w:val="002060"/>
          <w:sz w:val="20"/>
        </w:rPr>
      </w:pPr>
    </w:p>
    <w:p w:rsidR="00506A15" w:rsidRDefault="00506A15" w:rsidP="00506A15">
      <w:pPr>
        <w:pStyle w:val="Zkladntext"/>
        <w:jc w:val="both"/>
        <w:rPr>
          <w:rFonts w:ascii="Arial" w:hAnsi="Arial"/>
          <w:color w:val="002060"/>
          <w:sz w:val="20"/>
        </w:rPr>
      </w:pPr>
      <w:r w:rsidRPr="00C12116">
        <w:rPr>
          <w:rFonts w:ascii="Arial" w:hAnsi="Arial"/>
          <w:color w:val="002060"/>
          <w:sz w:val="20"/>
        </w:rPr>
        <w:t>Rozhodnutí komise je dáno její profesionální odborností a způsobilostí, přičemž byla vzata v úvahu veškerá dostupná hlediska, která byla známa v době zpracování projektové dokumentace</w:t>
      </w:r>
      <w:r>
        <w:rPr>
          <w:rFonts w:ascii="Arial" w:hAnsi="Arial"/>
          <w:color w:val="002060"/>
          <w:sz w:val="20"/>
        </w:rPr>
        <w:t>.</w:t>
      </w:r>
    </w:p>
    <w:p w:rsidR="00D70052" w:rsidRDefault="00D70052" w:rsidP="00D70052">
      <w:pPr>
        <w:spacing w:after="0"/>
        <w:rPr>
          <w:rFonts w:cs="Arial"/>
          <w:b/>
          <w:sz w:val="20"/>
          <w:szCs w:val="20"/>
          <w:u w:val="single"/>
        </w:rPr>
      </w:pPr>
    </w:p>
    <w:p w:rsidR="00D70052" w:rsidRPr="00D70052" w:rsidRDefault="00D70052" w:rsidP="00D70052">
      <w:pPr>
        <w:spacing w:after="0"/>
        <w:rPr>
          <w:rFonts w:cs="Arial"/>
          <w:sz w:val="20"/>
          <w:szCs w:val="20"/>
        </w:rPr>
      </w:pPr>
      <w:r w:rsidRPr="00D70052">
        <w:rPr>
          <w:rFonts w:cs="Arial"/>
          <w:b/>
          <w:sz w:val="20"/>
          <w:szCs w:val="20"/>
          <w:u w:val="single"/>
        </w:rPr>
        <w:t>PLATNOST PROTOKOLU:</w:t>
      </w:r>
      <w:r w:rsidRPr="00D70052">
        <w:rPr>
          <w:rFonts w:cs="Arial"/>
          <w:sz w:val="20"/>
          <w:szCs w:val="20"/>
        </w:rPr>
        <w:t xml:space="preserve"> </w:t>
      </w:r>
    </w:p>
    <w:p w:rsidR="00D70052" w:rsidRPr="00D70052" w:rsidRDefault="00D70052" w:rsidP="00D70052">
      <w:pPr>
        <w:jc w:val="both"/>
        <w:rPr>
          <w:rFonts w:cs="Arial"/>
          <w:sz w:val="20"/>
          <w:szCs w:val="20"/>
        </w:rPr>
      </w:pPr>
      <w:r w:rsidRPr="00D70052">
        <w:rPr>
          <w:rFonts w:cs="Arial"/>
          <w:sz w:val="20"/>
          <w:szCs w:val="20"/>
        </w:rPr>
        <w:t xml:space="preserve">Tento protokol nabývá platnosti po schválení </w:t>
      </w:r>
      <w:r w:rsidR="00A90CB5">
        <w:rPr>
          <w:rFonts w:cs="Arial"/>
          <w:sz w:val="20"/>
          <w:szCs w:val="20"/>
        </w:rPr>
        <w:t>komis</w:t>
      </w:r>
      <w:r w:rsidR="00BC3C09">
        <w:rPr>
          <w:rFonts w:cs="Arial"/>
          <w:sz w:val="20"/>
          <w:szCs w:val="20"/>
        </w:rPr>
        <w:t>í</w:t>
      </w:r>
      <w:r w:rsidRPr="00D70052">
        <w:rPr>
          <w:rFonts w:cs="Arial"/>
          <w:sz w:val="20"/>
          <w:szCs w:val="20"/>
        </w:rPr>
        <w:t>. V případě odlišných charakteristik nebo podmínek od výše uvedených je nutné tyto změny uvést, zdůvodnit jejich odlišnost a zaprotokolovat.</w:t>
      </w:r>
    </w:p>
    <w:p w:rsidR="00506A15" w:rsidRDefault="00506A15" w:rsidP="00B835BA">
      <w:pPr>
        <w:rPr>
          <w:rFonts w:cstheme="minorHAnsi"/>
          <w:b/>
          <w:i/>
          <w:sz w:val="24"/>
          <w:szCs w:val="24"/>
        </w:rPr>
      </w:pPr>
    </w:p>
    <w:p w:rsidR="00B835BA" w:rsidRPr="005B7175" w:rsidRDefault="00B835BA" w:rsidP="00B835BA">
      <w:pPr>
        <w:rPr>
          <w:rFonts w:cstheme="minorHAnsi"/>
          <w:b/>
          <w:i/>
          <w:sz w:val="24"/>
          <w:szCs w:val="24"/>
        </w:rPr>
      </w:pPr>
      <w:r>
        <w:rPr>
          <w:rFonts w:cstheme="minorHAnsi"/>
          <w:b/>
          <w:i/>
          <w:sz w:val="24"/>
          <w:szCs w:val="24"/>
        </w:rPr>
        <w:t>Datum sepsání protokolu</w:t>
      </w:r>
      <w:r w:rsidRPr="005B7175">
        <w:rPr>
          <w:rFonts w:cstheme="minorHAnsi"/>
          <w:b/>
          <w:i/>
          <w:sz w:val="24"/>
          <w:szCs w:val="24"/>
        </w:rPr>
        <w:t>:</w:t>
      </w:r>
      <w:r w:rsidR="00775F6D">
        <w:rPr>
          <w:rFonts w:cstheme="minorHAnsi"/>
          <w:b/>
          <w:i/>
          <w:sz w:val="24"/>
          <w:szCs w:val="24"/>
        </w:rPr>
        <w:t xml:space="preserve">  </w:t>
      </w:r>
      <w:r w:rsidR="00FE6171">
        <w:rPr>
          <w:rFonts w:cstheme="minorHAnsi"/>
          <w:b/>
          <w:i/>
          <w:sz w:val="24"/>
          <w:szCs w:val="24"/>
        </w:rPr>
        <w:t xml:space="preserve"> </w:t>
      </w:r>
      <w:r w:rsidR="008F7E4D">
        <w:rPr>
          <w:rFonts w:cstheme="minorHAnsi"/>
          <w:b/>
          <w:i/>
          <w:sz w:val="24"/>
          <w:szCs w:val="24"/>
        </w:rPr>
        <w:t>05</w:t>
      </w:r>
      <w:r w:rsidR="00FD1789">
        <w:rPr>
          <w:rFonts w:cstheme="minorHAnsi"/>
          <w:b/>
          <w:i/>
          <w:sz w:val="24"/>
          <w:szCs w:val="24"/>
        </w:rPr>
        <w:t>.</w:t>
      </w:r>
      <w:r w:rsidR="008F7E4D">
        <w:rPr>
          <w:rFonts w:cstheme="minorHAnsi"/>
          <w:b/>
          <w:i/>
          <w:sz w:val="24"/>
          <w:szCs w:val="24"/>
        </w:rPr>
        <w:t>09</w:t>
      </w:r>
      <w:r w:rsidR="00FD1789">
        <w:rPr>
          <w:rFonts w:cstheme="minorHAnsi"/>
          <w:b/>
          <w:i/>
          <w:sz w:val="24"/>
          <w:szCs w:val="24"/>
        </w:rPr>
        <w:t>.202</w:t>
      </w:r>
      <w:r w:rsidR="008274F4">
        <w:rPr>
          <w:rFonts w:cstheme="minorHAnsi"/>
          <w:b/>
          <w:i/>
          <w:sz w:val="24"/>
          <w:szCs w:val="24"/>
        </w:rPr>
        <w:t>5</w:t>
      </w:r>
    </w:p>
    <w:p w:rsidR="00F04785" w:rsidRDefault="00F04785" w:rsidP="00025FF7">
      <w:pPr>
        <w:tabs>
          <w:tab w:val="left" w:pos="3647"/>
        </w:tabs>
        <w:rPr>
          <w:rFonts w:cs="Arial"/>
          <w:sz w:val="20"/>
          <w:szCs w:val="20"/>
        </w:rPr>
      </w:pPr>
    </w:p>
    <w:p w:rsidR="008274F4" w:rsidRDefault="008274F4" w:rsidP="00025FF7">
      <w:pPr>
        <w:tabs>
          <w:tab w:val="left" w:pos="3647"/>
        </w:tabs>
        <w:rPr>
          <w:rFonts w:cs="Arial"/>
          <w:sz w:val="20"/>
          <w:szCs w:val="20"/>
        </w:rPr>
      </w:pPr>
    </w:p>
    <w:p w:rsidR="008274F4" w:rsidRDefault="008274F4" w:rsidP="00025FF7">
      <w:pPr>
        <w:tabs>
          <w:tab w:val="left" w:pos="3647"/>
        </w:tabs>
        <w:rPr>
          <w:rFonts w:cs="Arial"/>
          <w:sz w:val="20"/>
          <w:szCs w:val="20"/>
        </w:rPr>
      </w:pPr>
    </w:p>
    <w:p w:rsidR="002B4D1C" w:rsidRDefault="00575482" w:rsidP="002B4D1C">
      <w:pPr>
        <w:pStyle w:val="Zkladntext"/>
        <w:spacing w:line="240" w:lineRule="atLeast"/>
        <w:jc w:val="both"/>
        <w:rPr>
          <w:rFonts w:ascii="Arial" w:hAnsi="Arial"/>
          <w:color w:val="002060"/>
          <w:sz w:val="18"/>
        </w:rPr>
      </w:pPr>
      <w:r w:rsidRPr="00575482">
        <w:rPr>
          <w:rFonts w:ascii="Arial" w:hAnsi="Arial"/>
          <w:b/>
          <w:color w:val="002060"/>
          <w:sz w:val="18"/>
          <w:u w:val="single"/>
        </w:rPr>
        <w:lastRenderedPageBreak/>
        <w:t>Podklady použité pro vypracování protokolu</w:t>
      </w:r>
      <w:r w:rsidR="0071401F">
        <w:rPr>
          <w:rFonts w:ascii="Arial" w:hAnsi="Arial"/>
          <w:b/>
          <w:color w:val="002060"/>
          <w:sz w:val="18"/>
          <w:u w:val="single"/>
        </w:rPr>
        <w:t xml:space="preserve"> a jiné další</w:t>
      </w:r>
      <w:r w:rsidR="002B4D1C" w:rsidRPr="00FE644F">
        <w:rPr>
          <w:rFonts w:ascii="Arial" w:hAnsi="Arial"/>
          <w:color w:val="002060"/>
          <w:sz w:val="18"/>
          <w:u w:val="single"/>
        </w:rPr>
        <w:t>:</w:t>
      </w:r>
      <w:r w:rsidR="002B4D1C" w:rsidRPr="00606F54">
        <w:rPr>
          <w:rFonts w:ascii="Arial" w:hAnsi="Arial"/>
          <w:color w:val="002060"/>
          <w:sz w:val="18"/>
        </w:rPr>
        <w:t xml:space="preserve"> </w:t>
      </w:r>
    </w:p>
    <w:p w:rsidR="002B4D1C" w:rsidRDefault="002B4D1C" w:rsidP="002B4D1C">
      <w:pPr>
        <w:pStyle w:val="Zkladntext"/>
        <w:spacing w:line="240" w:lineRule="atLeast"/>
        <w:jc w:val="both"/>
        <w:rPr>
          <w:rFonts w:ascii="Arial" w:hAnsi="Arial" w:cs="Arial"/>
          <w:color w:val="002060"/>
          <w:sz w:val="18"/>
          <w:szCs w:val="18"/>
        </w:rPr>
      </w:pPr>
    </w:p>
    <w:tbl>
      <w:tblPr>
        <w:tblW w:w="9342" w:type="dxa"/>
        <w:tblInd w:w="65" w:type="dxa"/>
        <w:tblCellMar>
          <w:left w:w="70" w:type="dxa"/>
          <w:right w:w="70" w:type="dxa"/>
        </w:tblCellMar>
        <w:tblLook w:val="04A0"/>
      </w:tblPr>
      <w:tblGrid>
        <w:gridCol w:w="2982"/>
        <w:gridCol w:w="6360"/>
      </w:tblGrid>
      <w:tr w:rsidR="002B4D1C" w:rsidRPr="00575482" w:rsidTr="004471CB">
        <w:trPr>
          <w:trHeight w:val="395"/>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B4D1C" w:rsidRPr="00575482" w:rsidRDefault="00575482" w:rsidP="00DA3E13">
            <w:pPr>
              <w:rPr>
                <w:rFonts w:eastAsia="Calibri" w:cs="Arial"/>
                <w:szCs w:val="18"/>
              </w:rPr>
            </w:pPr>
            <w:r w:rsidRPr="00575482">
              <w:rPr>
                <w:rFonts w:eastAsia="Calibri" w:cs="Arial"/>
                <w:szCs w:val="18"/>
              </w:rPr>
              <w:t>ČSN 33 2000-5-51 ed.3+ Z1+Z2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B4D1C" w:rsidRPr="00575482" w:rsidRDefault="001C41E7" w:rsidP="0009524E">
            <w:pPr>
              <w:spacing w:after="0"/>
              <w:ind w:left="-70"/>
              <w:rPr>
                <w:rFonts w:eastAsia="Calibri" w:cs="Arial"/>
                <w:szCs w:val="18"/>
              </w:rPr>
            </w:pPr>
            <w:r>
              <w:rPr>
                <w:rFonts w:eastAsia="Calibri" w:cs="Arial"/>
                <w:szCs w:val="18"/>
              </w:rPr>
              <w:t>E</w:t>
            </w:r>
            <w:r w:rsidRPr="001C41E7">
              <w:rPr>
                <w:rFonts w:eastAsia="Calibri" w:cs="Arial"/>
                <w:szCs w:val="18"/>
              </w:rPr>
              <w:t>lektrické instalace nízkého napětí – část 5-51 výběr a stavba elektrických zařízení</w:t>
            </w:r>
            <w:r>
              <w:rPr>
                <w:rFonts w:eastAsia="Calibri" w:cs="Arial"/>
                <w:szCs w:val="18"/>
              </w:rPr>
              <w:t xml:space="preserve"> </w:t>
            </w:r>
            <w:r w:rsidRPr="001C41E7">
              <w:rPr>
                <w:rFonts w:eastAsia="Calibri" w:cs="Arial"/>
                <w:szCs w:val="18"/>
              </w:rPr>
              <w:t>-</w:t>
            </w:r>
            <w:r>
              <w:rPr>
                <w:rFonts w:eastAsia="Calibri" w:cs="Arial"/>
                <w:szCs w:val="18"/>
              </w:rPr>
              <w:t xml:space="preserve"> O</w:t>
            </w:r>
            <w:r w:rsidRPr="001C41E7">
              <w:rPr>
                <w:rFonts w:eastAsia="Calibri" w:cs="Arial"/>
                <w:szCs w:val="18"/>
              </w:rPr>
              <w:t>becné předpisy (</w:t>
            </w:r>
            <w:r>
              <w:rPr>
                <w:rFonts w:eastAsia="Calibri" w:cs="Arial"/>
                <w:szCs w:val="18"/>
              </w:rPr>
              <w:t>7/2022</w:t>
            </w:r>
            <w:r w:rsidRPr="001C41E7">
              <w:rPr>
                <w:rFonts w:eastAsia="Calibri" w:cs="Arial"/>
                <w:szCs w:val="18"/>
              </w:rPr>
              <w:t>)</w:t>
            </w:r>
            <w:r w:rsidR="0058362B">
              <w:rPr>
                <w:rFonts w:eastAsia="Calibri" w:cs="Arial"/>
                <w:szCs w:val="18"/>
              </w:rPr>
              <w:t xml:space="preserve">, opr.1 z 4/2023 </w:t>
            </w:r>
          </w:p>
        </w:tc>
      </w:tr>
      <w:tr w:rsidR="0009524E" w:rsidRPr="00575482" w:rsidTr="004471C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09524E" w:rsidRPr="00575482" w:rsidRDefault="0009524E" w:rsidP="00DA3E13">
            <w:pPr>
              <w:rPr>
                <w:rFonts w:eastAsia="Calibri" w:cs="Arial"/>
                <w:szCs w:val="18"/>
              </w:rPr>
            </w:pPr>
            <w:r w:rsidRPr="0009524E">
              <w:rPr>
                <w:rFonts w:eastAsia="Calibri" w:cs="Arial"/>
                <w:szCs w:val="18"/>
              </w:rPr>
              <w:t>TNI 33 2000-5-51</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09524E" w:rsidRPr="00575482" w:rsidRDefault="0009524E" w:rsidP="002C214A">
            <w:pPr>
              <w:spacing w:after="0"/>
              <w:ind w:left="-70"/>
              <w:rPr>
                <w:rFonts w:eastAsia="Calibri" w:cs="Arial"/>
                <w:szCs w:val="18"/>
              </w:rPr>
            </w:pPr>
            <w:r>
              <w:rPr>
                <w:rFonts w:eastAsia="Calibri" w:cs="Arial"/>
                <w:szCs w:val="18"/>
              </w:rPr>
              <w:t>E</w:t>
            </w:r>
            <w:r w:rsidRPr="0009524E">
              <w:rPr>
                <w:rFonts w:eastAsia="Calibri" w:cs="Arial"/>
                <w:szCs w:val="18"/>
              </w:rPr>
              <w:t>lektrické instalace nízkého napětí - výběr a stavba elektrických zařízení - obecné předpisy - vnější vlivy, jejich určování a protokol o určení vnějších vlivů - komentář k ČSN 33 2000-5-51 ed.3 plus Z1+Z2: 2022 (</w:t>
            </w:r>
            <w:r w:rsidR="00303C87">
              <w:rPr>
                <w:rFonts w:eastAsia="Calibri" w:cs="Arial"/>
                <w:szCs w:val="18"/>
              </w:rPr>
              <w:t>10/</w:t>
            </w:r>
            <w:r w:rsidRPr="0009524E">
              <w:rPr>
                <w:rFonts w:eastAsia="Calibri" w:cs="Arial"/>
                <w:szCs w:val="18"/>
              </w:rPr>
              <w:t>2022)</w:t>
            </w:r>
          </w:p>
        </w:tc>
      </w:tr>
      <w:tr w:rsidR="000356A1" w:rsidRPr="00575482" w:rsidTr="004471C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0356A1" w:rsidRPr="00575482" w:rsidRDefault="000356A1" w:rsidP="00DA3E13">
            <w:pPr>
              <w:rPr>
                <w:rFonts w:eastAsia="Calibri" w:cs="Arial"/>
                <w:szCs w:val="18"/>
              </w:rPr>
            </w:pPr>
            <w:r w:rsidRPr="000356A1">
              <w:rPr>
                <w:rFonts w:eastAsia="Calibri" w:cs="Arial"/>
                <w:szCs w:val="18"/>
              </w:rPr>
              <w:t>ČSN EN 61140 ed.3</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0356A1" w:rsidRPr="00575482" w:rsidRDefault="000356A1" w:rsidP="00865DC4">
            <w:pPr>
              <w:spacing w:after="0"/>
              <w:ind w:left="-70"/>
              <w:rPr>
                <w:rFonts w:eastAsia="Calibri" w:cs="Arial"/>
                <w:szCs w:val="18"/>
              </w:rPr>
            </w:pPr>
            <w:r>
              <w:rPr>
                <w:rFonts w:eastAsia="Calibri" w:cs="Arial"/>
                <w:szCs w:val="18"/>
              </w:rPr>
              <w:t>O</w:t>
            </w:r>
            <w:r w:rsidRPr="000356A1">
              <w:rPr>
                <w:rFonts w:eastAsia="Calibri" w:cs="Arial"/>
                <w:szCs w:val="18"/>
              </w:rPr>
              <w:t>chrana před úrazem elektrickým proudem - společná hlediska pro instalaci a zařízení (</w:t>
            </w:r>
            <w:r>
              <w:rPr>
                <w:rFonts w:eastAsia="Calibri" w:cs="Arial"/>
                <w:szCs w:val="18"/>
              </w:rPr>
              <w:t>1</w:t>
            </w:r>
            <w:r w:rsidR="00215FBD">
              <w:rPr>
                <w:rFonts w:eastAsia="Calibri" w:cs="Arial"/>
                <w:szCs w:val="18"/>
              </w:rPr>
              <w:t>1</w:t>
            </w:r>
            <w:r>
              <w:rPr>
                <w:rFonts w:eastAsia="Calibri" w:cs="Arial"/>
                <w:szCs w:val="18"/>
              </w:rPr>
              <w:t>/2016</w:t>
            </w:r>
            <w:r w:rsidRPr="000356A1">
              <w:rPr>
                <w:rFonts w:eastAsia="Calibri" w:cs="Arial"/>
                <w:szCs w:val="18"/>
              </w:rPr>
              <w:t>)</w:t>
            </w:r>
          </w:p>
        </w:tc>
      </w:tr>
      <w:tr w:rsidR="0023532B" w:rsidRPr="00575482" w:rsidTr="004471C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3532B" w:rsidRPr="00575482" w:rsidRDefault="0023532B" w:rsidP="00DA3E13">
            <w:pPr>
              <w:rPr>
                <w:rFonts w:eastAsia="Calibri" w:cs="Arial"/>
                <w:szCs w:val="18"/>
              </w:rPr>
            </w:pPr>
            <w:r w:rsidRPr="0023532B">
              <w:rPr>
                <w:rFonts w:eastAsia="Calibri" w:cs="Arial"/>
                <w:szCs w:val="18"/>
              </w:rPr>
              <w:t>ČSN 33 2000-1 ed.2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3532B" w:rsidRPr="00575482" w:rsidRDefault="0023532B" w:rsidP="004471CB">
            <w:pPr>
              <w:spacing w:after="0"/>
              <w:ind w:left="-70"/>
              <w:rPr>
                <w:rFonts w:eastAsia="Calibri" w:cs="Arial"/>
                <w:szCs w:val="18"/>
              </w:rPr>
            </w:pPr>
            <w:r>
              <w:rPr>
                <w:rFonts w:eastAsia="Calibri" w:cs="Arial"/>
                <w:szCs w:val="18"/>
              </w:rPr>
              <w:t>E</w:t>
            </w:r>
            <w:r w:rsidRPr="0023532B">
              <w:rPr>
                <w:rFonts w:eastAsia="Calibri" w:cs="Arial"/>
                <w:szCs w:val="18"/>
              </w:rPr>
              <w:t>lektrické instalace nízkého napětí - část 1 základní hlediska, stanovení základní charakteristik, definice (</w:t>
            </w:r>
            <w:r>
              <w:rPr>
                <w:rFonts w:eastAsia="Calibri" w:cs="Arial"/>
                <w:szCs w:val="18"/>
              </w:rPr>
              <w:t>6/2009</w:t>
            </w:r>
            <w:r w:rsidRPr="0023532B">
              <w:rPr>
                <w:rFonts w:eastAsia="Calibri" w:cs="Arial"/>
                <w:szCs w:val="18"/>
              </w:rPr>
              <w:t>)</w:t>
            </w:r>
            <w:r>
              <w:rPr>
                <w:rFonts w:eastAsia="Calibri" w:cs="Arial"/>
                <w:szCs w:val="18"/>
              </w:rPr>
              <w:t>, Z1 z 3/2018</w:t>
            </w:r>
          </w:p>
        </w:tc>
      </w:tr>
      <w:tr w:rsidR="00247A98" w:rsidRPr="00575482" w:rsidTr="00247A98">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47A98" w:rsidRPr="00575482" w:rsidRDefault="00247A98" w:rsidP="00335338">
            <w:pPr>
              <w:rPr>
                <w:rFonts w:eastAsia="Calibri" w:cs="Arial"/>
                <w:szCs w:val="18"/>
              </w:rPr>
            </w:pPr>
            <w:r w:rsidRPr="00247A98">
              <w:rPr>
                <w:rFonts w:eastAsia="Calibri" w:cs="Arial"/>
                <w:szCs w:val="18"/>
              </w:rPr>
              <w:t>ČSN 33 2130 ed.</w:t>
            </w:r>
            <w:r w:rsidR="00335338">
              <w:rPr>
                <w:rFonts w:eastAsia="Calibri" w:cs="Arial"/>
                <w:szCs w:val="18"/>
              </w:rPr>
              <w:t>4</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47A98" w:rsidRPr="00575482" w:rsidRDefault="00247A98" w:rsidP="00335338">
            <w:pPr>
              <w:spacing w:after="0"/>
              <w:ind w:left="-70"/>
              <w:rPr>
                <w:rFonts w:eastAsia="Calibri" w:cs="Arial"/>
                <w:szCs w:val="18"/>
              </w:rPr>
            </w:pPr>
            <w:r>
              <w:rPr>
                <w:rFonts w:eastAsia="Calibri" w:cs="Arial"/>
                <w:szCs w:val="18"/>
              </w:rPr>
              <w:t>E</w:t>
            </w:r>
            <w:r w:rsidRPr="00247A98">
              <w:rPr>
                <w:rFonts w:eastAsia="Calibri" w:cs="Arial"/>
                <w:szCs w:val="18"/>
              </w:rPr>
              <w:t>lektrické instalace nízkého napětí - vnitřní elektrické rozvody (</w:t>
            </w:r>
            <w:r>
              <w:rPr>
                <w:rFonts w:eastAsia="Calibri" w:cs="Arial"/>
                <w:szCs w:val="18"/>
              </w:rPr>
              <w:t>1</w:t>
            </w:r>
            <w:r w:rsidR="00335338">
              <w:rPr>
                <w:rFonts w:eastAsia="Calibri" w:cs="Arial"/>
                <w:szCs w:val="18"/>
              </w:rPr>
              <w:t>2</w:t>
            </w:r>
            <w:r>
              <w:rPr>
                <w:rFonts w:eastAsia="Calibri" w:cs="Arial"/>
                <w:szCs w:val="18"/>
              </w:rPr>
              <w:t>/20</w:t>
            </w:r>
            <w:r w:rsidR="00335338">
              <w:rPr>
                <w:rFonts w:eastAsia="Calibri" w:cs="Arial"/>
                <w:szCs w:val="18"/>
              </w:rPr>
              <w:t>24</w:t>
            </w:r>
            <w:r w:rsidRPr="00247A98">
              <w:rPr>
                <w:rFonts w:eastAsia="Calibri" w:cs="Arial"/>
                <w:szCs w:val="18"/>
              </w:rPr>
              <w:t>)</w:t>
            </w:r>
          </w:p>
        </w:tc>
      </w:tr>
      <w:tr w:rsidR="0027458B" w:rsidRPr="00575482" w:rsidTr="0027458B">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27458B" w:rsidRPr="00575482" w:rsidRDefault="0027458B" w:rsidP="00DA3E13">
            <w:pPr>
              <w:rPr>
                <w:rFonts w:eastAsia="Calibri" w:cs="Arial"/>
                <w:szCs w:val="18"/>
              </w:rPr>
            </w:pPr>
            <w:r w:rsidRPr="0027458B">
              <w:rPr>
                <w:rFonts w:eastAsia="Calibri" w:cs="Arial"/>
                <w:szCs w:val="18"/>
              </w:rPr>
              <w:t>ČSN 33 2000-7-718</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27458B" w:rsidRPr="00575482" w:rsidRDefault="0027458B" w:rsidP="00BC1BC6">
            <w:pPr>
              <w:spacing w:after="0"/>
              <w:ind w:left="-70"/>
              <w:rPr>
                <w:rFonts w:eastAsia="Calibri" w:cs="Arial"/>
                <w:szCs w:val="18"/>
              </w:rPr>
            </w:pPr>
            <w:r>
              <w:rPr>
                <w:rFonts w:eastAsia="Calibri" w:cs="Arial"/>
                <w:szCs w:val="18"/>
              </w:rPr>
              <w:t>E</w:t>
            </w:r>
            <w:r w:rsidRPr="0027458B">
              <w:rPr>
                <w:rFonts w:eastAsia="Calibri" w:cs="Arial"/>
                <w:szCs w:val="18"/>
              </w:rPr>
              <w:t>lektrické instalace nízkého napětí - část 7-718 zařízení jednoúčelová a ve zvláštních objektech - prostory občanské výstavby a pracoviště (</w:t>
            </w:r>
            <w:r>
              <w:rPr>
                <w:rFonts w:eastAsia="Calibri" w:cs="Arial"/>
                <w:szCs w:val="18"/>
              </w:rPr>
              <w:t>5/2014</w:t>
            </w:r>
            <w:r w:rsidRPr="0027458B">
              <w:rPr>
                <w:rFonts w:eastAsia="Calibri" w:cs="Arial"/>
                <w:szCs w:val="18"/>
              </w:rPr>
              <w:t>)</w:t>
            </w:r>
            <w:r w:rsidR="004D341A">
              <w:rPr>
                <w:rFonts w:eastAsia="Calibri" w:cs="Arial"/>
                <w:szCs w:val="18"/>
              </w:rPr>
              <w:t>, Z</w:t>
            </w:r>
            <w:r w:rsidR="00BC1BC6">
              <w:rPr>
                <w:rFonts w:eastAsia="Calibri" w:cs="Arial"/>
                <w:szCs w:val="18"/>
              </w:rPr>
              <w:t>2</w:t>
            </w:r>
            <w:r w:rsidR="004D341A">
              <w:rPr>
                <w:rFonts w:eastAsia="Calibri" w:cs="Arial"/>
                <w:szCs w:val="18"/>
              </w:rPr>
              <w:t xml:space="preserve"> z 3/2018</w:t>
            </w:r>
          </w:p>
        </w:tc>
      </w:tr>
      <w:tr w:rsidR="00487C84" w:rsidRPr="00575482" w:rsidTr="00DA5D15">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87C84" w:rsidRPr="00DA5D15" w:rsidRDefault="00487C84" w:rsidP="00DA3E13">
            <w:pPr>
              <w:rPr>
                <w:rFonts w:eastAsia="Calibri" w:cs="Arial"/>
                <w:szCs w:val="18"/>
              </w:rPr>
            </w:pPr>
            <w:r>
              <w:rPr>
                <w:rFonts w:eastAsia="Calibri" w:cs="Arial"/>
                <w:szCs w:val="18"/>
              </w:rPr>
              <w:t>ČSN 33 2000-7-710</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487C84" w:rsidRPr="00DA5D15" w:rsidRDefault="00487C84" w:rsidP="00487C84">
            <w:pPr>
              <w:spacing w:after="0"/>
              <w:ind w:left="-70"/>
              <w:rPr>
                <w:rFonts w:eastAsia="Calibri" w:cs="Arial"/>
                <w:szCs w:val="18"/>
              </w:rPr>
            </w:pPr>
            <w:r>
              <w:rPr>
                <w:rFonts w:eastAsia="Calibri" w:cs="Arial"/>
                <w:szCs w:val="18"/>
              </w:rPr>
              <w:t>E</w:t>
            </w:r>
            <w:r w:rsidRPr="00247A98">
              <w:rPr>
                <w:rFonts w:eastAsia="Calibri" w:cs="Arial"/>
                <w:szCs w:val="18"/>
              </w:rPr>
              <w:t>lektrické instalace nízkého napětí</w:t>
            </w:r>
            <w:r>
              <w:rPr>
                <w:rFonts w:eastAsia="Calibri" w:cs="Arial"/>
                <w:szCs w:val="18"/>
              </w:rPr>
              <w:t xml:space="preserve"> – část 7-710: Zařízení jednoúčelová a ve zvláštních objektech – Zdravotnické prostory</w:t>
            </w:r>
            <w:r w:rsidR="0045042E">
              <w:rPr>
                <w:rFonts w:eastAsia="Calibri" w:cs="Arial"/>
                <w:szCs w:val="18"/>
              </w:rPr>
              <w:t xml:space="preserve"> (2013)</w:t>
            </w:r>
          </w:p>
        </w:tc>
      </w:tr>
      <w:tr w:rsidR="00DA5D15" w:rsidRPr="00575482" w:rsidTr="00DA5D15">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DA5D15" w:rsidRPr="00575482" w:rsidRDefault="00DA5D15" w:rsidP="00DA3E13">
            <w:pPr>
              <w:rPr>
                <w:rFonts w:eastAsia="Calibri" w:cs="Arial"/>
                <w:szCs w:val="18"/>
              </w:rPr>
            </w:pPr>
            <w:r w:rsidRPr="00DA5D15">
              <w:rPr>
                <w:rFonts w:eastAsia="Calibri" w:cs="Arial"/>
                <w:szCs w:val="18"/>
              </w:rPr>
              <w:t>ČSN 33 2000-4-42 ed.2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DA5D15" w:rsidRPr="00575482" w:rsidRDefault="00DA5D15" w:rsidP="00DA3E13">
            <w:pPr>
              <w:spacing w:after="0"/>
              <w:ind w:left="-70"/>
              <w:rPr>
                <w:rFonts w:eastAsia="Calibri" w:cs="Arial"/>
                <w:szCs w:val="18"/>
              </w:rPr>
            </w:pPr>
            <w:r w:rsidRPr="00DA5D15">
              <w:rPr>
                <w:rFonts w:eastAsia="Calibri" w:cs="Arial"/>
                <w:szCs w:val="18"/>
              </w:rPr>
              <w:t>Elektrické instalace nízkého napětí - Část 4-42: Bezpečnost - Ochrana před účinky tepla</w:t>
            </w:r>
            <w:r>
              <w:rPr>
                <w:rFonts w:eastAsia="Calibri" w:cs="Arial"/>
                <w:szCs w:val="18"/>
              </w:rPr>
              <w:t>, Z2 z 06/2022</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FC7896" w:rsidP="00FC7896">
            <w:pPr>
              <w:spacing w:before="100" w:beforeAutospacing="1" w:after="0" w:line="240" w:lineRule="auto"/>
              <w:outlineLvl w:val="0"/>
              <w:rPr>
                <w:rFonts w:eastAsia="Calibri" w:cs="Arial"/>
                <w:szCs w:val="18"/>
              </w:rPr>
            </w:pPr>
            <w:r w:rsidRPr="00FC7896">
              <w:rPr>
                <w:rFonts w:eastAsia="Times New Roman" w:cs="Arial"/>
                <w:bCs/>
                <w:kern w:val="36"/>
                <w:szCs w:val="18"/>
                <w:lang w:eastAsia="cs-CZ"/>
              </w:rPr>
              <w:t xml:space="preserve">ČSN EN 61936-1 </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72C7F" w:rsidP="00E72C7F">
            <w:pPr>
              <w:spacing w:after="0"/>
              <w:ind w:left="-70"/>
              <w:rPr>
                <w:rFonts w:eastAsia="Calibri" w:cs="Arial"/>
                <w:szCs w:val="18"/>
              </w:rPr>
            </w:pPr>
            <w:r>
              <w:t>E</w:t>
            </w:r>
            <w:r w:rsidR="00FC7896">
              <w:t>lektrické instalace nad AC 1 kV - Část 1: Všeobecná pravidla</w:t>
            </w:r>
          </w:p>
        </w:tc>
      </w:tr>
      <w:tr w:rsidR="00E530AE" w:rsidRPr="00575482" w:rsidTr="00DA3E13">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E530AE" w:rsidRPr="00575482" w:rsidRDefault="00E530AE" w:rsidP="00DA3E13">
            <w:pPr>
              <w:spacing w:before="100" w:beforeAutospacing="1" w:after="0" w:line="240" w:lineRule="auto"/>
              <w:outlineLvl w:val="0"/>
              <w:rPr>
                <w:rFonts w:eastAsia="Calibri" w:cs="Arial"/>
                <w:szCs w:val="18"/>
              </w:rPr>
            </w:pPr>
            <w:r>
              <w:t>ČSN EN IEC 61936-1 ed. 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E530AE" w:rsidRPr="00575482" w:rsidRDefault="00E530AE" w:rsidP="00DA3E13">
            <w:pPr>
              <w:spacing w:after="0"/>
              <w:ind w:left="-70"/>
              <w:rPr>
                <w:rFonts w:eastAsia="Calibri" w:cs="Arial"/>
                <w:szCs w:val="18"/>
              </w:rPr>
            </w:pPr>
            <w:r>
              <w:t>Elektrické instalace nad AC 1 kV a DC 1,5 kV - Část 1: AC</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E81CA8" w:rsidP="00E81CA8">
            <w:pPr>
              <w:spacing w:after="0"/>
              <w:rPr>
                <w:rFonts w:eastAsia="Calibri" w:cs="Arial"/>
                <w:szCs w:val="18"/>
              </w:rPr>
            </w:pPr>
            <w:r>
              <w:t>ČSN 33 1310 ed. 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81CA8" w:rsidP="00DA3E13">
            <w:pPr>
              <w:spacing w:after="0"/>
              <w:ind w:left="-70"/>
              <w:rPr>
                <w:rFonts w:eastAsia="Calibri" w:cs="Arial"/>
                <w:szCs w:val="18"/>
              </w:rPr>
            </w:pPr>
            <w:r>
              <w:t>Bezpečnostní požadavky na elektrické instalace a spotřebiče určené k užívání osobami bez elektrotechnické kvalifikace</w:t>
            </w:r>
            <w:r w:rsidR="007835D0">
              <w:t xml:space="preserve"> (112009)</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E670D4" w:rsidP="00DA3E13">
            <w:pPr>
              <w:rPr>
                <w:rFonts w:eastAsia="Calibri" w:cs="Arial"/>
                <w:szCs w:val="18"/>
              </w:rPr>
            </w:pPr>
            <w:r>
              <w:rPr>
                <w:rFonts w:eastAsia="Calibri" w:cs="Arial"/>
                <w:szCs w:val="18"/>
              </w:rPr>
              <w:t xml:space="preserve">ČSN </w:t>
            </w:r>
            <w:r>
              <w:t>730848</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670D4" w:rsidP="00DA3E13">
            <w:pPr>
              <w:spacing w:after="0"/>
              <w:ind w:left="-70"/>
              <w:rPr>
                <w:rFonts w:eastAsia="Calibri" w:cs="Arial"/>
                <w:szCs w:val="18"/>
              </w:rPr>
            </w:pPr>
            <w:r>
              <w:t>Požární bezpečnost staveb - Elektrická zařízení, elektrické instalace a rozvody 10/2023</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F776DE" w:rsidP="00F776DE">
            <w:pPr>
              <w:spacing w:after="0"/>
              <w:rPr>
                <w:rFonts w:eastAsia="Calibri" w:cs="Arial"/>
                <w:szCs w:val="18"/>
              </w:rPr>
            </w:pPr>
            <w:r>
              <w:t>ČSN EN 50174-2 ed. 3</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F776DE" w:rsidP="00DA3E13">
            <w:pPr>
              <w:spacing w:after="0"/>
              <w:ind w:left="-70"/>
              <w:rPr>
                <w:rFonts w:eastAsia="Calibri" w:cs="Arial"/>
                <w:szCs w:val="18"/>
              </w:rPr>
            </w:pPr>
            <w:r>
              <w:t>Informační technologie - Instalace kabelových rozvodů - Část 2: Projektová příprava a výstavba v budovách (5/2019)</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C11C8B" w:rsidP="00DA3E13">
            <w:pPr>
              <w:rPr>
                <w:rFonts w:eastAsia="Calibri" w:cs="Arial"/>
                <w:szCs w:val="18"/>
              </w:rPr>
            </w:pPr>
            <w:r>
              <w:rPr>
                <w:rFonts w:eastAsia="Calibri" w:cs="Arial"/>
                <w:szCs w:val="18"/>
              </w:rPr>
              <w:t>PNE 33 0000-2</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C11C8B" w:rsidP="00C11C8B">
            <w:pPr>
              <w:spacing w:after="0"/>
              <w:ind w:left="-70"/>
              <w:rPr>
                <w:rFonts w:eastAsia="Calibri" w:cs="Arial"/>
                <w:szCs w:val="18"/>
              </w:rPr>
            </w:pPr>
            <w:r>
              <w:t>Stanovení základních charakteristik vnějších vlivů působících na rozvodná zařízení distribuční a přenosové soustavy – podniková norma ČEZ</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E44543" w:rsidP="00DA3E13">
            <w:pPr>
              <w:rPr>
                <w:rFonts w:eastAsia="Calibri" w:cs="Arial"/>
                <w:szCs w:val="18"/>
              </w:rPr>
            </w:pPr>
            <w:r>
              <w:rPr>
                <w:rFonts w:eastAsia="Calibri" w:cs="Arial"/>
                <w:szCs w:val="18"/>
              </w:rPr>
              <w:t>NV č. 190/2022 Sb.</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E44543" w:rsidP="00E44543">
            <w:pPr>
              <w:spacing w:after="0"/>
              <w:ind w:left="-70"/>
              <w:rPr>
                <w:rFonts w:eastAsia="Calibri" w:cs="Arial"/>
                <w:szCs w:val="18"/>
              </w:rPr>
            </w:pPr>
            <w:r>
              <w:rPr>
                <w:rStyle w:val="h1a"/>
              </w:rPr>
              <w:t>Nařízení vlády o vyhrazených technických elektrických zařízeních a požadavcích na zajištění jejich bezpečnosti</w:t>
            </w:r>
          </w:p>
        </w:tc>
      </w:tr>
      <w:tr w:rsidR="009B6170" w:rsidRPr="00575482" w:rsidTr="009B6170">
        <w:trPr>
          <w:trHeight w:val="227"/>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9B6170" w:rsidRPr="00575482" w:rsidRDefault="003C5139" w:rsidP="00DA3E13">
            <w:pPr>
              <w:rPr>
                <w:rFonts w:eastAsia="Calibri" w:cs="Arial"/>
                <w:szCs w:val="18"/>
              </w:rPr>
            </w:pPr>
            <w:r>
              <w:rPr>
                <w:rFonts w:eastAsia="Calibri" w:cs="Arial"/>
                <w:szCs w:val="18"/>
              </w:rPr>
              <w:t>Zákon č. 250/2021 Sb.</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9B6170" w:rsidRPr="00575482" w:rsidRDefault="003C5139" w:rsidP="003C5139">
            <w:pPr>
              <w:spacing w:after="0"/>
              <w:ind w:left="-70"/>
              <w:rPr>
                <w:rFonts w:eastAsia="Calibri" w:cs="Arial"/>
                <w:szCs w:val="18"/>
              </w:rPr>
            </w:pPr>
            <w:r>
              <w:rPr>
                <w:rStyle w:val="h1a"/>
              </w:rPr>
              <w:t>Zákon o bezpečnosti práce v souvislosti s provozem vyhrazených technických zařízení a o změně souvisejících zákonů (7/2022)</w:t>
            </w:r>
          </w:p>
        </w:tc>
      </w:tr>
      <w:tr w:rsidR="00372A91" w:rsidRPr="00575482" w:rsidTr="00372A91">
        <w:trPr>
          <w:trHeight w:val="256"/>
        </w:trPr>
        <w:tc>
          <w:tcPr>
            <w:tcW w:w="2982"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72A91" w:rsidRPr="00575482" w:rsidRDefault="00372A91" w:rsidP="00372A91">
            <w:pPr>
              <w:spacing w:after="0"/>
              <w:rPr>
                <w:rFonts w:eastAsia="Calibri" w:cs="Arial"/>
                <w:szCs w:val="18"/>
              </w:rPr>
            </w:pPr>
            <w:r>
              <w:rPr>
                <w:rFonts w:eastAsia="Calibri" w:cs="Arial"/>
                <w:szCs w:val="18"/>
              </w:rPr>
              <w:t>Zákon č. 262/2006 Sb.</w:t>
            </w:r>
          </w:p>
        </w:tc>
        <w:tc>
          <w:tcPr>
            <w:tcW w:w="6360" w:type="dxa"/>
            <w:tcBorders>
              <w:top w:val="dotted" w:sz="4" w:space="0" w:color="auto"/>
              <w:left w:val="nil"/>
              <w:bottom w:val="dotted" w:sz="4" w:space="0" w:color="auto"/>
              <w:right w:val="dotted" w:sz="4" w:space="0" w:color="auto"/>
            </w:tcBorders>
            <w:shd w:val="clear" w:color="auto" w:fill="auto"/>
            <w:noWrap/>
            <w:vAlign w:val="center"/>
            <w:hideMark/>
          </w:tcPr>
          <w:p w:rsidR="00372A91" w:rsidRPr="00372A91" w:rsidRDefault="00372A91" w:rsidP="00372A91">
            <w:pPr>
              <w:spacing w:after="0"/>
              <w:ind w:left="-70"/>
            </w:pPr>
            <w:r>
              <w:rPr>
                <w:rStyle w:val="h1a"/>
              </w:rPr>
              <w:t>Zákon zákoník práce</w:t>
            </w:r>
          </w:p>
        </w:tc>
      </w:tr>
    </w:tbl>
    <w:p w:rsidR="00F04785" w:rsidRDefault="00F04785" w:rsidP="00025FF7">
      <w:pPr>
        <w:tabs>
          <w:tab w:val="left" w:pos="3647"/>
        </w:tabs>
        <w:rPr>
          <w:rFonts w:cs="Arial"/>
          <w:sz w:val="20"/>
          <w:szCs w:val="20"/>
        </w:rPr>
      </w:pPr>
    </w:p>
    <w:p w:rsidR="006F1F5F" w:rsidRPr="00D70052" w:rsidRDefault="006F1F5F" w:rsidP="006F1F5F">
      <w:pPr>
        <w:spacing w:after="0"/>
        <w:rPr>
          <w:rFonts w:cs="Arial"/>
          <w:sz w:val="20"/>
          <w:szCs w:val="20"/>
        </w:rPr>
      </w:pPr>
      <w:r>
        <w:rPr>
          <w:rFonts w:cs="Arial"/>
          <w:b/>
          <w:sz w:val="20"/>
          <w:szCs w:val="20"/>
          <w:u w:val="single"/>
        </w:rPr>
        <w:t>Popis stavebního záměru</w:t>
      </w:r>
      <w:r w:rsidRPr="00D70052">
        <w:rPr>
          <w:rFonts w:cs="Arial"/>
          <w:b/>
          <w:sz w:val="20"/>
          <w:szCs w:val="20"/>
          <w:u w:val="single"/>
        </w:rPr>
        <w:t>:</w:t>
      </w:r>
      <w:r w:rsidRPr="00D70052">
        <w:rPr>
          <w:rFonts w:cs="Arial"/>
          <w:sz w:val="20"/>
          <w:szCs w:val="20"/>
        </w:rPr>
        <w:t xml:space="preserve"> </w:t>
      </w:r>
    </w:p>
    <w:p w:rsidR="00A103E1" w:rsidRPr="007D1289" w:rsidRDefault="007D1289" w:rsidP="00C51595">
      <w:pPr>
        <w:tabs>
          <w:tab w:val="left" w:pos="3647"/>
        </w:tabs>
        <w:jc w:val="both"/>
        <w:rPr>
          <w:rFonts w:cs="Arial"/>
          <w:sz w:val="20"/>
          <w:szCs w:val="20"/>
        </w:rPr>
      </w:pPr>
      <w:r>
        <w:rPr>
          <w:rFonts w:cs="Arial"/>
          <w:sz w:val="20"/>
          <w:szCs w:val="20"/>
        </w:rPr>
        <w:t xml:space="preserve">Jedná se o rekonstrukci </w:t>
      </w:r>
      <w:r w:rsidR="008F7E4D">
        <w:rPr>
          <w:rFonts w:cs="Arial"/>
          <w:sz w:val="20"/>
          <w:szCs w:val="20"/>
        </w:rPr>
        <w:t xml:space="preserve">elektro </w:t>
      </w:r>
      <w:r w:rsidR="00EA4BC1">
        <w:rPr>
          <w:rFonts w:cs="Arial"/>
          <w:sz w:val="20"/>
          <w:szCs w:val="20"/>
        </w:rPr>
        <w:t>rozvodů v bytové jednotce č.</w:t>
      </w:r>
      <w:r w:rsidR="00A03AE7">
        <w:rPr>
          <w:rFonts w:cs="Arial"/>
          <w:sz w:val="20"/>
          <w:szCs w:val="20"/>
        </w:rPr>
        <w:t>45</w:t>
      </w:r>
      <w:r w:rsidR="00EA4BC1">
        <w:rPr>
          <w:rFonts w:cs="Arial"/>
          <w:sz w:val="20"/>
          <w:szCs w:val="20"/>
        </w:rPr>
        <w:t xml:space="preserve"> objektu </w:t>
      </w:r>
      <w:r w:rsidR="008F7E4D" w:rsidRPr="008F7E4D">
        <w:rPr>
          <w:rFonts w:cs="Arial"/>
          <w:sz w:val="20"/>
          <w:szCs w:val="20"/>
        </w:rPr>
        <w:t>Čsl. armády 445/22</w:t>
      </w:r>
      <w:r w:rsidR="008F7E4D">
        <w:rPr>
          <w:rFonts w:cs="Arial"/>
          <w:sz w:val="20"/>
          <w:szCs w:val="20"/>
        </w:rPr>
        <w:t xml:space="preserve"> v</w:t>
      </w:r>
      <w:r w:rsidR="008F7E4D" w:rsidRPr="008F7E4D">
        <w:rPr>
          <w:rFonts w:cs="Arial"/>
          <w:sz w:val="20"/>
          <w:szCs w:val="20"/>
        </w:rPr>
        <w:t xml:space="preserve"> Šumperk</w:t>
      </w:r>
      <w:r w:rsidR="008F7E4D">
        <w:rPr>
          <w:rFonts w:cs="Arial"/>
          <w:sz w:val="20"/>
          <w:szCs w:val="20"/>
        </w:rPr>
        <w:t>u. Rozvody budou provedeny převážně na povrchu a částečně pod omítkou ve zdi.</w:t>
      </w:r>
    </w:p>
    <w:p w:rsidR="00277C7F" w:rsidRDefault="00277C7F" w:rsidP="008C6A7D">
      <w:pPr>
        <w:tabs>
          <w:tab w:val="left" w:pos="3647"/>
        </w:tabs>
        <w:jc w:val="both"/>
        <w:rPr>
          <w:rFonts w:cs="Arial"/>
          <w:sz w:val="20"/>
          <w:szCs w:val="20"/>
        </w:rPr>
      </w:pPr>
    </w:p>
    <w:p w:rsidR="00A54B72" w:rsidRDefault="00A54B72" w:rsidP="008C6A7D">
      <w:pPr>
        <w:tabs>
          <w:tab w:val="left" w:pos="3647"/>
        </w:tabs>
        <w:jc w:val="both"/>
        <w:rPr>
          <w:rFonts w:cs="Arial"/>
          <w:sz w:val="20"/>
          <w:szCs w:val="20"/>
        </w:rPr>
      </w:pPr>
    </w:p>
    <w:p w:rsidR="00277C7F" w:rsidRDefault="00277C7F" w:rsidP="008C6A7D">
      <w:pPr>
        <w:tabs>
          <w:tab w:val="left" w:pos="3647"/>
        </w:tabs>
        <w:jc w:val="both"/>
        <w:rPr>
          <w:rFonts w:cs="Arial"/>
          <w:sz w:val="20"/>
          <w:szCs w:val="20"/>
        </w:rPr>
      </w:pPr>
    </w:p>
    <w:p w:rsidR="00EA4BC1" w:rsidRDefault="00EA4BC1" w:rsidP="008C6A7D">
      <w:pPr>
        <w:tabs>
          <w:tab w:val="left" w:pos="3647"/>
        </w:tabs>
        <w:jc w:val="both"/>
        <w:rPr>
          <w:rFonts w:cs="Arial"/>
          <w:sz w:val="20"/>
          <w:szCs w:val="20"/>
        </w:rPr>
      </w:pPr>
    </w:p>
    <w:p w:rsidR="00EA4BC1" w:rsidRDefault="00EA4BC1" w:rsidP="008C6A7D">
      <w:pPr>
        <w:tabs>
          <w:tab w:val="left" w:pos="3647"/>
        </w:tabs>
        <w:jc w:val="both"/>
        <w:rPr>
          <w:rFonts w:cs="Arial"/>
          <w:sz w:val="20"/>
          <w:szCs w:val="20"/>
        </w:rPr>
      </w:pPr>
    </w:p>
    <w:p w:rsidR="00277C7F" w:rsidRDefault="00277C7F" w:rsidP="008C6A7D">
      <w:pPr>
        <w:tabs>
          <w:tab w:val="left" w:pos="3647"/>
        </w:tabs>
        <w:jc w:val="both"/>
        <w:rPr>
          <w:rFonts w:cs="Arial"/>
          <w:sz w:val="20"/>
          <w:szCs w:val="20"/>
        </w:rPr>
      </w:pPr>
    </w:p>
    <w:p w:rsidR="00174FC1" w:rsidRPr="00D70052" w:rsidRDefault="00174FC1" w:rsidP="00174FC1">
      <w:pPr>
        <w:spacing w:after="0"/>
        <w:rPr>
          <w:rFonts w:cs="Arial"/>
          <w:sz w:val="20"/>
          <w:szCs w:val="20"/>
        </w:rPr>
      </w:pPr>
      <w:r>
        <w:rPr>
          <w:rFonts w:cs="Arial"/>
          <w:b/>
          <w:sz w:val="20"/>
          <w:szCs w:val="20"/>
          <w:u w:val="single"/>
        </w:rPr>
        <w:t>Přílohy</w:t>
      </w:r>
      <w:r w:rsidRPr="00D70052">
        <w:rPr>
          <w:rFonts w:cs="Arial"/>
          <w:b/>
          <w:sz w:val="20"/>
          <w:szCs w:val="20"/>
          <w:u w:val="single"/>
        </w:rPr>
        <w:t>:</w:t>
      </w:r>
      <w:r w:rsidRPr="00D70052">
        <w:rPr>
          <w:rFonts w:cs="Arial"/>
          <w:sz w:val="20"/>
          <w:szCs w:val="20"/>
        </w:rPr>
        <w:t xml:space="preserve"> </w:t>
      </w:r>
    </w:p>
    <w:p w:rsidR="00F04785" w:rsidRDefault="00174FC1" w:rsidP="00174FC1">
      <w:pPr>
        <w:tabs>
          <w:tab w:val="left" w:pos="3647"/>
        </w:tabs>
        <w:jc w:val="both"/>
        <w:rPr>
          <w:rFonts w:cs="Arial"/>
          <w:sz w:val="20"/>
          <w:szCs w:val="20"/>
        </w:rPr>
      </w:pPr>
      <w:r w:rsidRPr="00174FC1">
        <w:rPr>
          <w:rFonts w:cs="Arial"/>
          <w:sz w:val="20"/>
          <w:szCs w:val="20"/>
        </w:rPr>
        <w:t>Charakterisktiky vnějších vlivů v dotčených prostorách dle ČSN 33 2000-5-51 ed.3+Z1+Z2, příloha ZA</w:t>
      </w:r>
      <w:r>
        <w:rPr>
          <w:rFonts w:cs="Arial"/>
          <w:sz w:val="20"/>
          <w:szCs w:val="20"/>
        </w:rPr>
        <w:t>.</w:t>
      </w:r>
    </w:p>
    <w:p w:rsidR="00EA4BC1" w:rsidRDefault="00EA4BC1" w:rsidP="00F673A9">
      <w:pPr>
        <w:spacing w:after="0"/>
        <w:rPr>
          <w:rFonts w:cs="Arial"/>
          <w:b/>
          <w:sz w:val="20"/>
          <w:szCs w:val="20"/>
          <w:u w:val="single"/>
        </w:rPr>
      </w:pPr>
    </w:p>
    <w:p w:rsidR="00463BB5" w:rsidRPr="00D70052" w:rsidRDefault="00F673A9" w:rsidP="00F673A9">
      <w:pPr>
        <w:spacing w:after="0"/>
        <w:rPr>
          <w:rFonts w:cs="Arial"/>
          <w:sz w:val="20"/>
          <w:szCs w:val="20"/>
        </w:rPr>
      </w:pPr>
      <w:r>
        <w:rPr>
          <w:rFonts w:cs="Arial"/>
          <w:b/>
          <w:sz w:val="20"/>
          <w:szCs w:val="20"/>
          <w:u w:val="single"/>
        </w:rPr>
        <w:lastRenderedPageBreak/>
        <w:t>Zdůvodnění</w:t>
      </w:r>
      <w:r w:rsidRPr="00D70052">
        <w:rPr>
          <w:rFonts w:cs="Arial"/>
          <w:b/>
          <w:sz w:val="20"/>
          <w:szCs w:val="20"/>
          <w:u w:val="single"/>
        </w:rPr>
        <w:t>:</w:t>
      </w:r>
      <w:r w:rsidRPr="00D70052">
        <w:rPr>
          <w:rFonts w:cs="Arial"/>
          <w:sz w:val="20"/>
          <w:szCs w:val="20"/>
        </w:rPr>
        <w:t xml:space="preserve"> </w:t>
      </w:r>
    </w:p>
    <w:p w:rsidR="00F04785" w:rsidRDefault="00463BB5" w:rsidP="00463BB5">
      <w:pPr>
        <w:pStyle w:val="Odstavecseseznamem"/>
        <w:numPr>
          <w:ilvl w:val="0"/>
          <w:numId w:val="1"/>
        </w:numPr>
        <w:tabs>
          <w:tab w:val="left" w:pos="3647"/>
        </w:tabs>
        <w:jc w:val="both"/>
        <w:rPr>
          <w:rFonts w:cs="Arial"/>
          <w:sz w:val="20"/>
          <w:szCs w:val="20"/>
        </w:rPr>
      </w:pPr>
      <w:r w:rsidRPr="00463BB5">
        <w:rPr>
          <w:rFonts w:cs="Arial"/>
          <w:sz w:val="20"/>
          <w:szCs w:val="20"/>
        </w:rPr>
        <w:t>Členění prostor na základě určených vnějších vlivů bylo provedeno dle ČSN EN 61140 ed.3, čl. 4.4.</w:t>
      </w:r>
    </w:p>
    <w:p w:rsidR="00F04785" w:rsidRDefault="00244FFF" w:rsidP="00372A91">
      <w:pPr>
        <w:pStyle w:val="Odstavecseseznamem"/>
        <w:numPr>
          <w:ilvl w:val="0"/>
          <w:numId w:val="1"/>
        </w:numPr>
        <w:tabs>
          <w:tab w:val="left" w:pos="3647"/>
        </w:tabs>
        <w:jc w:val="both"/>
        <w:rPr>
          <w:rFonts w:cs="Arial"/>
          <w:sz w:val="20"/>
          <w:szCs w:val="20"/>
        </w:rPr>
      </w:pPr>
      <w:r w:rsidRPr="00244FFF">
        <w:rPr>
          <w:rFonts w:cs="Arial"/>
          <w:sz w:val="20"/>
          <w:szCs w:val="20"/>
        </w:rPr>
        <w:t>Členění prostor na normální a abnormální z hlediska rizika úrazu elektrickým proudem pro laiky, tj. ve smyslu TNI 33 2000-5-51:2022, čl. 2.2, čl. 2.3, a čl. 4.12, je posuzováno pouze pro prostory, kde se laici mohou vyskytovat (což se pak netýká prostor, do kterých nemá být lajkům umožněn přístup).</w:t>
      </w:r>
    </w:p>
    <w:p w:rsidR="00F04785" w:rsidRDefault="005C7C11" w:rsidP="00037A94">
      <w:pPr>
        <w:pStyle w:val="Odstavecseseznamem"/>
        <w:numPr>
          <w:ilvl w:val="0"/>
          <w:numId w:val="1"/>
        </w:numPr>
        <w:tabs>
          <w:tab w:val="left" w:pos="3647"/>
        </w:tabs>
        <w:jc w:val="both"/>
        <w:rPr>
          <w:rFonts w:cs="Arial"/>
          <w:sz w:val="20"/>
          <w:szCs w:val="20"/>
        </w:rPr>
      </w:pPr>
      <w:r w:rsidRPr="005C7C11">
        <w:rPr>
          <w:rFonts w:cs="Arial"/>
          <w:sz w:val="20"/>
          <w:szCs w:val="20"/>
        </w:rPr>
        <w:t>Jelikož zaměstnanci musí být dle požadavku § 103 odst.2 zákona č. 262/2006 Sb., zákoník práce, ve znění pozdějších předpisů, vždy osoby nejméně školené, pak se jich toto členění netýká.</w:t>
      </w:r>
    </w:p>
    <w:p w:rsidR="00F04785" w:rsidRDefault="00FB5D82" w:rsidP="00025FF7">
      <w:pPr>
        <w:pStyle w:val="Odstavecseseznamem"/>
        <w:numPr>
          <w:ilvl w:val="0"/>
          <w:numId w:val="1"/>
        </w:numPr>
        <w:tabs>
          <w:tab w:val="left" w:pos="3647"/>
        </w:tabs>
        <w:jc w:val="both"/>
        <w:rPr>
          <w:rFonts w:cs="Arial"/>
          <w:sz w:val="20"/>
          <w:szCs w:val="20"/>
        </w:rPr>
      </w:pPr>
      <w:r w:rsidRPr="00FB5D82">
        <w:rPr>
          <w:rFonts w:cs="Arial"/>
          <w:sz w:val="20"/>
          <w:szCs w:val="20"/>
        </w:rPr>
        <w:t xml:space="preserve">Příslušné stanovení vnějších vlivů bylo provedeno v rámci dokumentace </w:t>
      </w:r>
      <w:r>
        <w:rPr>
          <w:rFonts w:cs="Arial"/>
          <w:sz w:val="20"/>
          <w:szCs w:val="20"/>
        </w:rPr>
        <w:t>elektro</w:t>
      </w:r>
    </w:p>
    <w:p w:rsidR="00F04785" w:rsidRDefault="00315AD9" w:rsidP="0081627B">
      <w:pPr>
        <w:pStyle w:val="Odstavecseseznamem"/>
        <w:numPr>
          <w:ilvl w:val="0"/>
          <w:numId w:val="1"/>
        </w:numPr>
        <w:tabs>
          <w:tab w:val="left" w:pos="3647"/>
        </w:tabs>
        <w:jc w:val="both"/>
        <w:rPr>
          <w:rFonts w:cs="Arial"/>
          <w:sz w:val="20"/>
          <w:szCs w:val="20"/>
        </w:rPr>
      </w:pPr>
      <w:r w:rsidRPr="00315AD9">
        <w:rPr>
          <w:rFonts w:cs="Arial"/>
          <w:sz w:val="20"/>
          <w:szCs w:val="20"/>
        </w:rPr>
        <w:t>Určené vnější vlivy musí být v rámci prohlídky revizním technikem dle ČSN 33 2000-6 ed.2, čl. 6.4.2.3 písm. g), stejně jako dle požadavků ČSN 33 2000-6 ed.2 změna Z2, příloha č.1, v celém rozsahu revidované instalace ověřený vzhledem ke skutečnému stavu a tento dokument musí být před uvedením vyhrazeného technického zařízení do provozu buďto potvrzen, případně upraven.</w:t>
      </w:r>
    </w:p>
    <w:p w:rsidR="00F04785" w:rsidRDefault="000C2564" w:rsidP="0029676F">
      <w:pPr>
        <w:pStyle w:val="Odstavecseseznamem"/>
        <w:numPr>
          <w:ilvl w:val="0"/>
          <w:numId w:val="1"/>
        </w:numPr>
        <w:tabs>
          <w:tab w:val="left" w:pos="3647"/>
        </w:tabs>
        <w:jc w:val="both"/>
        <w:rPr>
          <w:rFonts w:cs="Arial"/>
          <w:sz w:val="20"/>
          <w:szCs w:val="20"/>
        </w:rPr>
      </w:pPr>
      <w:r w:rsidRPr="000C2564">
        <w:rPr>
          <w:rFonts w:cs="Arial"/>
          <w:sz w:val="20"/>
          <w:szCs w:val="20"/>
        </w:rPr>
        <w:t>Dle ČSN EN 61140 ed.3, čl. 5.2.3.1 musí v přístupu k nebezpečným živým částem obecně bránit ochranné přepážky nebo kryty zajištěním stupně ochrany před úrazem elektrickým proudem alespoň IPXXB nebo IP2X.</w:t>
      </w:r>
    </w:p>
    <w:p w:rsidR="00F04785" w:rsidRDefault="009A3B43" w:rsidP="009A3B43">
      <w:pPr>
        <w:pStyle w:val="Odstavecseseznamem"/>
        <w:numPr>
          <w:ilvl w:val="0"/>
          <w:numId w:val="1"/>
        </w:numPr>
        <w:tabs>
          <w:tab w:val="left" w:pos="3647"/>
        </w:tabs>
        <w:jc w:val="both"/>
        <w:rPr>
          <w:rFonts w:cs="Arial"/>
          <w:sz w:val="20"/>
          <w:szCs w:val="20"/>
        </w:rPr>
      </w:pPr>
      <w:r w:rsidRPr="009A3B43">
        <w:rPr>
          <w:rFonts w:cs="Arial"/>
          <w:sz w:val="20"/>
          <w:szCs w:val="20"/>
        </w:rPr>
        <w:t>Pro obsluhu, údržbu a práci na elektrických zařízeních platí bezpečnostní požadavky ČSN EN 50110-1 ed.3. V případě laické obsluhy elektrických zařízení musí předávající (zhotovitel, vlastník, provozovatel) vždy provést její seznámení se správným a bezpečným užíváním elektrické instalace dle požadavků ČSN 33 1310 ed.2.</w:t>
      </w:r>
    </w:p>
    <w:p w:rsidR="00BD2DE6" w:rsidRDefault="00BD2DE6" w:rsidP="009A3B43">
      <w:pPr>
        <w:pStyle w:val="Odstavecseseznamem"/>
        <w:numPr>
          <w:ilvl w:val="0"/>
          <w:numId w:val="1"/>
        </w:numPr>
        <w:tabs>
          <w:tab w:val="left" w:pos="3647"/>
        </w:tabs>
        <w:jc w:val="both"/>
        <w:rPr>
          <w:rFonts w:cs="Arial"/>
          <w:sz w:val="20"/>
          <w:szCs w:val="20"/>
        </w:rPr>
      </w:pPr>
      <w:r>
        <w:rPr>
          <w:rFonts w:cs="Arial"/>
          <w:sz w:val="20"/>
          <w:szCs w:val="20"/>
        </w:rPr>
        <w:t>Vnější vlivy se určují při obvyklých tedy provozních stavech (mimo prostory s nebezpečím výbuchu, nebo s prostory s hořlavými látkami či kapalinami).</w:t>
      </w:r>
    </w:p>
    <w:p w:rsidR="00E70B74" w:rsidRPr="009A3B43" w:rsidRDefault="00E70B74" w:rsidP="009A3B43">
      <w:pPr>
        <w:pStyle w:val="Odstavecseseznamem"/>
        <w:numPr>
          <w:ilvl w:val="0"/>
          <w:numId w:val="1"/>
        </w:numPr>
        <w:tabs>
          <w:tab w:val="left" w:pos="3647"/>
        </w:tabs>
        <w:jc w:val="both"/>
        <w:rPr>
          <w:rFonts w:cs="Arial"/>
          <w:sz w:val="20"/>
          <w:szCs w:val="20"/>
        </w:rPr>
      </w:pPr>
      <w:r>
        <w:rPr>
          <w:rFonts w:cs="Arial"/>
          <w:sz w:val="20"/>
          <w:szCs w:val="20"/>
        </w:rPr>
        <w:t>U výrobků se vnější vlivy neurčují – povinnost výrobce.</w:t>
      </w:r>
    </w:p>
    <w:p w:rsidR="00A576BE" w:rsidRDefault="00A576BE" w:rsidP="004A02F7">
      <w:pPr>
        <w:spacing w:after="0"/>
        <w:rPr>
          <w:rFonts w:cs="Arial"/>
          <w:szCs w:val="18"/>
        </w:rPr>
      </w:pPr>
      <w:r w:rsidRPr="00B93F60">
        <w:rPr>
          <w:rFonts w:cs="Arial"/>
          <w:b/>
          <w:szCs w:val="18"/>
          <w:u w:val="single"/>
        </w:rPr>
        <w:t>Vnější vlivy se člení na</w:t>
      </w:r>
      <w:r w:rsidRPr="00B93F60">
        <w:rPr>
          <w:rFonts w:cs="Arial"/>
          <w:szCs w:val="18"/>
        </w:rPr>
        <w:t>:</w:t>
      </w:r>
    </w:p>
    <w:p w:rsidR="00A576BE" w:rsidRPr="00A576BE" w:rsidRDefault="00A576BE" w:rsidP="00A576BE">
      <w:pPr>
        <w:pStyle w:val="Odstavecseseznamem"/>
        <w:numPr>
          <w:ilvl w:val="0"/>
          <w:numId w:val="3"/>
        </w:numPr>
        <w:rPr>
          <w:rFonts w:cs="Arial"/>
          <w:sz w:val="20"/>
          <w:szCs w:val="20"/>
        </w:rPr>
      </w:pPr>
      <w:r w:rsidRPr="00A576BE">
        <w:rPr>
          <w:rFonts w:cs="Arial"/>
          <w:bCs/>
          <w:szCs w:val="18"/>
        </w:rPr>
        <w:t xml:space="preserve">vnější vlivy, které </w:t>
      </w:r>
      <w:r w:rsidRPr="00A576BE">
        <w:rPr>
          <w:rFonts w:cs="Arial"/>
          <w:b/>
          <w:bCs/>
          <w:szCs w:val="18"/>
        </w:rPr>
        <w:t>nezvyšují nebezpečí úrazu elektrickým proudem</w:t>
      </w:r>
    </w:p>
    <w:p w:rsidR="00BC6CE4" w:rsidRPr="00BC6CE4" w:rsidRDefault="00A576BE" w:rsidP="00BC6CE4">
      <w:pPr>
        <w:pStyle w:val="Odstavecseseznamem"/>
        <w:numPr>
          <w:ilvl w:val="0"/>
          <w:numId w:val="3"/>
        </w:numPr>
        <w:rPr>
          <w:rFonts w:cs="Arial"/>
          <w:sz w:val="20"/>
          <w:szCs w:val="20"/>
        </w:rPr>
      </w:pPr>
      <w:r w:rsidRPr="00A576BE">
        <w:rPr>
          <w:rFonts w:cs="Arial"/>
          <w:bCs/>
          <w:szCs w:val="18"/>
        </w:rPr>
        <w:t xml:space="preserve">vnější vlivy, které </w:t>
      </w:r>
      <w:r w:rsidRPr="00A576BE">
        <w:rPr>
          <w:rFonts w:cs="Arial"/>
          <w:b/>
          <w:bCs/>
          <w:szCs w:val="18"/>
        </w:rPr>
        <w:t>zvyšují nebezpečí úrazu elektrickým proudem</w:t>
      </w:r>
    </w:p>
    <w:p w:rsidR="00BC6CE4" w:rsidRDefault="00BC6CE4" w:rsidP="004A02F7">
      <w:pPr>
        <w:spacing w:after="0"/>
        <w:jc w:val="both"/>
        <w:rPr>
          <w:rFonts w:cs="Arial"/>
          <w:szCs w:val="18"/>
        </w:rPr>
      </w:pPr>
      <w:r w:rsidRPr="00BC6CE4">
        <w:rPr>
          <w:rFonts w:cs="Arial"/>
          <w:szCs w:val="18"/>
        </w:rPr>
        <w:t xml:space="preserve">Pokud budou klasifikovány vnější vlivy, které nezvyšují nebezpečí úrazu elektrickým proudem, nic se neděje. Pokud budou klasifikovány </w:t>
      </w:r>
      <w:r w:rsidRPr="00BC6CE4">
        <w:rPr>
          <w:rStyle w:val="Siln"/>
          <w:rFonts w:cs="Arial"/>
          <w:szCs w:val="18"/>
        </w:rPr>
        <w:t>vnější vlivy, které zvyšují nebezpečí úrazu elektrickým proudem</w:t>
      </w:r>
      <w:r w:rsidRPr="00BC6CE4">
        <w:rPr>
          <w:rFonts w:cs="Arial"/>
          <w:szCs w:val="18"/>
        </w:rPr>
        <w:t xml:space="preserve">, pak nastupují </w:t>
      </w:r>
      <w:r w:rsidRPr="00BC6CE4">
        <w:rPr>
          <w:rStyle w:val="Siln"/>
          <w:rFonts w:cs="Arial"/>
          <w:szCs w:val="18"/>
        </w:rPr>
        <w:t>prostředky doplňkové ochrany</w:t>
      </w:r>
      <w:r w:rsidRPr="00BC6CE4">
        <w:rPr>
          <w:rFonts w:cs="Arial"/>
          <w:szCs w:val="18"/>
        </w:rPr>
        <w:t>.</w:t>
      </w:r>
    </w:p>
    <w:p w:rsidR="004A02F7" w:rsidRPr="00BC6CE4" w:rsidRDefault="004A02F7" w:rsidP="004A02F7">
      <w:pPr>
        <w:spacing w:after="0"/>
        <w:jc w:val="both"/>
        <w:rPr>
          <w:rStyle w:val="fontstyle01"/>
          <w:rFonts w:cs="Arial"/>
          <w:szCs w:val="18"/>
        </w:rPr>
      </w:pPr>
    </w:p>
    <w:p w:rsidR="00F04785" w:rsidRDefault="00203EBA" w:rsidP="00C93516">
      <w:pPr>
        <w:shd w:val="clear" w:color="auto" w:fill="FFFFFF"/>
        <w:rPr>
          <w:rStyle w:val="Siln"/>
          <w:rFonts w:cs="Arial"/>
          <w:szCs w:val="18"/>
        </w:rPr>
      </w:pPr>
      <w:r w:rsidRPr="00B93F60">
        <w:rPr>
          <w:rFonts w:cs="Arial"/>
          <w:szCs w:val="18"/>
        </w:rPr>
        <w:t xml:space="preserve">Pokud jde o prostředky ochrany v případech (vnějších vlivů) </w:t>
      </w:r>
      <w:r w:rsidRPr="00B93F60">
        <w:rPr>
          <w:rStyle w:val="Siln"/>
          <w:rFonts w:cs="Arial"/>
          <w:szCs w:val="18"/>
        </w:rPr>
        <w:t>zahrnujících zvýšení nebezpečí úrazu elektrickým proudem</w:t>
      </w:r>
      <w:r w:rsidRPr="00B93F60">
        <w:rPr>
          <w:rFonts w:cs="Arial"/>
          <w:szCs w:val="18"/>
        </w:rPr>
        <w:t xml:space="preserve"> se podle čl. 5.</w:t>
      </w:r>
      <w:r w:rsidRPr="000C64C5">
        <w:t xml:space="preserve">5 </w:t>
      </w:r>
      <w:hyperlink r:id="rId8" w:tgtFrame="_blank" w:history="1">
        <w:r w:rsidRPr="000C64C5">
          <w:t>ČSN EN 61140 ed. 3</w:t>
        </w:r>
      </w:hyperlink>
      <w:r w:rsidRPr="00B93F60">
        <w:rPr>
          <w:rFonts w:cs="Arial"/>
          <w:szCs w:val="18"/>
        </w:rPr>
        <w:t xml:space="preserve"> jako </w:t>
      </w:r>
      <w:r w:rsidRPr="00B93F60">
        <w:rPr>
          <w:rStyle w:val="Siln"/>
          <w:rFonts w:cs="Arial"/>
          <w:szCs w:val="18"/>
        </w:rPr>
        <w:t>prostředky doplňkové ochrany</w:t>
      </w:r>
      <w:r w:rsidRPr="00B93F60">
        <w:rPr>
          <w:rFonts w:cs="Arial"/>
          <w:szCs w:val="18"/>
        </w:rPr>
        <w:t xml:space="preserve"> uplatňují:</w:t>
      </w:r>
      <w:r w:rsidRPr="00B93F60">
        <w:rPr>
          <w:rFonts w:cs="Arial"/>
          <w:szCs w:val="18"/>
        </w:rPr>
        <w:br/>
      </w:r>
      <w:r w:rsidRPr="00B93F60">
        <w:rPr>
          <w:rStyle w:val="Siln"/>
          <w:rFonts w:cs="Arial"/>
          <w:szCs w:val="18"/>
        </w:rPr>
        <w:t>- doplňková ochrana proudovým chráničem (RCD) I</w:t>
      </w:r>
      <w:r w:rsidRPr="00B93F60">
        <w:rPr>
          <w:rFonts w:cs="Arial"/>
          <w:szCs w:val="18"/>
          <w:vertAlign w:val="subscript"/>
        </w:rPr>
        <w:t>Δ</w:t>
      </w:r>
      <w:r w:rsidRPr="00B93F60">
        <w:rPr>
          <w:rStyle w:val="Siln"/>
          <w:rFonts w:cs="Arial"/>
          <w:szCs w:val="18"/>
          <w:vertAlign w:val="subscript"/>
        </w:rPr>
        <w:t>n</w:t>
      </w:r>
      <w:r w:rsidRPr="00B93F60">
        <w:rPr>
          <w:rFonts w:cs="Arial"/>
          <w:szCs w:val="18"/>
        </w:rPr>
        <w:t xml:space="preserve"> ≤ </w:t>
      </w:r>
      <w:r w:rsidRPr="00B93F60">
        <w:rPr>
          <w:rStyle w:val="Siln"/>
          <w:rFonts w:cs="Arial"/>
          <w:szCs w:val="18"/>
        </w:rPr>
        <w:t xml:space="preserve">30 mA, </w:t>
      </w:r>
      <w:r w:rsidRPr="00B93F60">
        <w:rPr>
          <w:rFonts w:cs="Arial"/>
          <w:szCs w:val="18"/>
        </w:rPr>
        <w:t>nebo</w:t>
      </w:r>
      <w:r w:rsidRPr="00B93F60">
        <w:rPr>
          <w:rFonts w:cs="Arial"/>
          <w:szCs w:val="18"/>
        </w:rPr>
        <w:br/>
      </w:r>
      <w:r w:rsidRPr="00B93F60">
        <w:rPr>
          <w:rStyle w:val="Siln"/>
          <w:rFonts w:cs="Arial"/>
          <w:szCs w:val="18"/>
        </w:rPr>
        <w:t>- doplňková ochrana doplňujícím ochranným pospojováním.</w:t>
      </w:r>
    </w:p>
    <w:p w:rsidR="00C93516" w:rsidRDefault="00C93516" w:rsidP="00A061D5">
      <w:pPr>
        <w:shd w:val="clear" w:color="auto" w:fill="FFFFFF"/>
        <w:jc w:val="both"/>
        <w:rPr>
          <w:rStyle w:val="Siln"/>
          <w:rFonts w:cs="Arial"/>
          <w:b w:val="0"/>
          <w:szCs w:val="18"/>
        </w:rPr>
      </w:pPr>
      <w:r>
        <w:rPr>
          <w:rStyle w:val="Siln"/>
          <w:rFonts w:cs="Arial"/>
          <w:b w:val="0"/>
          <w:szCs w:val="18"/>
        </w:rPr>
        <w:t xml:space="preserve">Prostory se dále </w:t>
      </w:r>
      <w:r w:rsidR="00A061D5">
        <w:rPr>
          <w:rStyle w:val="Siln"/>
          <w:rFonts w:cs="Arial"/>
          <w:b w:val="0"/>
          <w:szCs w:val="18"/>
        </w:rPr>
        <w:t>dělí</w:t>
      </w:r>
      <w:r>
        <w:rPr>
          <w:rStyle w:val="Siln"/>
          <w:rFonts w:cs="Arial"/>
          <w:b w:val="0"/>
          <w:szCs w:val="18"/>
        </w:rPr>
        <w:t xml:space="preserve"> na prostory, kam má přístup veřejnost, či zaměstnanci. Z tohoto titulu pak určujeme vnější vliv BD.</w:t>
      </w:r>
      <w:r w:rsidR="0082724D">
        <w:rPr>
          <w:rStyle w:val="Siln"/>
          <w:rFonts w:cs="Arial"/>
          <w:b w:val="0"/>
          <w:szCs w:val="18"/>
        </w:rPr>
        <w:t xml:space="preserve"> U prostor s laiky pak ještě ma prostory normální a abnormální (základní + doplňková ochrana)</w:t>
      </w:r>
    </w:p>
    <w:tbl>
      <w:tblPr>
        <w:tblW w:w="5380" w:type="dxa"/>
        <w:tblInd w:w="65" w:type="dxa"/>
        <w:tblCellMar>
          <w:left w:w="70" w:type="dxa"/>
          <w:right w:w="70" w:type="dxa"/>
        </w:tblCellMar>
        <w:tblLook w:val="04A0"/>
      </w:tblPr>
      <w:tblGrid>
        <w:gridCol w:w="1460"/>
        <w:gridCol w:w="2900"/>
        <w:gridCol w:w="1020"/>
      </w:tblGrid>
      <w:tr w:rsidR="00C93516" w:rsidRPr="00C93516" w:rsidTr="00C93516">
        <w:trPr>
          <w:trHeight w:val="32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i/>
                <w:szCs w:val="18"/>
                <w:lang w:eastAsia="cs-CZ"/>
              </w:rPr>
            </w:pPr>
            <w:r w:rsidRPr="00C93516">
              <w:rPr>
                <w:rFonts w:ascii="Calibri" w:eastAsia="Times New Roman" w:hAnsi="Calibri" w:cs="Calibri"/>
                <w:b/>
                <w:i/>
                <w:szCs w:val="18"/>
                <w:lang w:eastAsia="cs-CZ"/>
              </w:rPr>
              <w:t>Výskyt osob</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rsidR="00C93516" w:rsidRPr="00C93516" w:rsidRDefault="00AF577F" w:rsidP="00AF577F">
            <w:pPr>
              <w:spacing w:after="0" w:line="240" w:lineRule="auto"/>
              <w:rPr>
                <w:rFonts w:ascii="Calibri" w:eastAsia="Times New Roman" w:hAnsi="Calibri" w:cs="Calibri"/>
                <w:b/>
                <w:i/>
                <w:szCs w:val="18"/>
                <w:lang w:eastAsia="cs-CZ"/>
              </w:rPr>
            </w:pPr>
            <w:r>
              <w:rPr>
                <w:rFonts w:ascii="Calibri" w:eastAsia="Times New Roman" w:hAnsi="Calibri" w:cs="Calibri"/>
                <w:b/>
                <w:i/>
                <w:szCs w:val="18"/>
                <w:lang w:eastAsia="cs-CZ"/>
              </w:rPr>
              <w:t>Normové o</w:t>
            </w:r>
            <w:r w:rsidR="00C93516" w:rsidRPr="00C93516">
              <w:rPr>
                <w:rFonts w:ascii="Calibri" w:eastAsia="Times New Roman" w:hAnsi="Calibri" w:cs="Calibri"/>
                <w:b/>
                <w:i/>
                <w:szCs w:val="18"/>
                <w:lang w:eastAsia="cs-CZ"/>
              </w:rPr>
              <w:t>značení prostor</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i/>
                <w:szCs w:val="18"/>
                <w:lang w:eastAsia="cs-CZ"/>
              </w:rPr>
            </w:pPr>
            <w:r w:rsidRPr="00C93516">
              <w:rPr>
                <w:rFonts w:ascii="Calibri" w:eastAsia="Times New Roman" w:hAnsi="Calibri" w:cs="Calibri"/>
                <w:b/>
                <w:i/>
                <w:szCs w:val="18"/>
                <w:lang w:eastAsia="cs-CZ"/>
              </w:rPr>
              <w:t>vliv</w:t>
            </w:r>
          </w:p>
        </w:tc>
      </w:tr>
      <w:tr w:rsidR="00C93516" w:rsidRPr="00C93516" w:rsidTr="00C93516">
        <w:trPr>
          <w:trHeight w:val="32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szCs w:val="18"/>
                <w:lang w:eastAsia="cs-CZ"/>
              </w:rPr>
            </w:pPr>
            <w:r w:rsidRPr="00C93516">
              <w:rPr>
                <w:rFonts w:ascii="Calibri" w:eastAsia="Times New Roman" w:hAnsi="Calibri" w:cs="Calibri"/>
                <w:b/>
                <w:szCs w:val="18"/>
                <w:lang w:eastAsia="cs-CZ"/>
              </w:rPr>
              <w:t>veřejnost</w:t>
            </w:r>
          </w:p>
        </w:tc>
        <w:tc>
          <w:tcPr>
            <w:tcW w:w="2900" w:type="dxa"/>
            <w:tcBorders>
              <w:top w:val="nil"/>
              <w:left w:val="nil"/>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szCs w:val="18"/>
                <w:lang w:eastAsia="cs-CZ"/>
              </w:rPr>
            </w:pPr>
            <w:r w:rsidRPr="00C93516">
              <w:rPr>
                <w:rFonts w:ascii="Calibri" w:eastAsia="Times New Roman" w:hAnsi="Calibri" w:cs="Calibri"/>
                <w:szCs w:val="18"/>
                <w:lang w:eastAsia="cs-CZ"/>
              </w:rPr>
              <w:t>Občanská výstavba</w:t>
            </w:r>
            <w:r w:rsidR="009A3319" w:rsidRPr="004B689A">
              <w:rPr>
                <w:rFonts w:ascii="Calibri" w:eastAsia="Times New Roman" w:hAnsi="Calibri" w:cs="Calibri"/>
                <w:szCs w:val="18"/>
                <w:vertAlign w:val="superscript"/>
                <w:lang w:eastAsia="cs-CZ"/>
              </w:rPr>
              <w:t>1)</w:t>
            </w:r>
          </w:p>
        </w:tc>
        <w:tc>
          <w:tcPr>
            <w:tcW w:w="1020" w:type="dxa"/>
            <w:vMerge w:val="restart"/>
            <w:tcBorders>
              <w:top w:val="nil"/>
              <w:left w:val="single" w:sz="4" w:space="0" w:color="auto"/>
              <w:bottom w:val="single" w:sz="4" w:space="0" w:color="auto"/>
              <w:right w:val="single" w:sz="4" w:space="0" w:color="auto"/>
            </w:tcBorders>
            <w:shd w:val="clear" w:color="auto" w:fill="auto"/>
            <w:vAlign w:val="bottom"/>
            <w:hideMark/>
          </w:tcPr>
          <w:p w:rsidR="00C93516" w:rsidRPr="00C93516" w:rsidRDefault="00C93516" w:rsidP="00C93516">
            <w:pPr>
              <w:spacing w:after="0" w:line="240" w:lineRule="auto"/>
              <w:rPr>
                <w:rFonts w:ascii="Calibri" w:eastAsia="Times New Roman" w:hAnsi="Calibri" w:cs="Calibri"/>
                <w:szCs w:val="18"/>
                <w:lang w:eastAsia="cs-CZ"/>
              </w:rPr>
            </w:pPr>
            <w:r w:rsidRPr="00C93516">
              <w:rPr>
                <w:rFonts w:ascii="Calibri" w:eastAsia="Times New Roman" w:hAnsi="Calibri" w:cs="Calibri"/>
                <w:szCs w:val="18"/>
                <w:lang w:eastAsia="cs-CZ"/>
              </w:rPr>
              <w:t>BD2                  BD3                              BD4</w:t>
            </w:r>
          </w:p>
        </w:tc>
      </w:tr>
      <w:tr w:rsidR="00C93516" w:rsidRPr="00C93516" w:rsidTr="00C93516">
        <w:trPr>
          <w:trHeight w:val="387"/>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C93516" w:rsidRPr="00C93516" w:rsidRDefault="00C93516" w:rsidP="00C93516">
            <w:pPr>
              <w:spacing w:after="0" w:line="240" w:lineRule="auto"/>
              <w:rPr>
                <w:rFonts w:ascii="Calibri" w:eastAsia="Times New Roman" w:hAnsi="Calibri" w:cs="Calibri"/>
                <w:b/>
                <w:szCs w:val="18"/>
                <w:lang w:eastAsia="cs-CZ"/>
              </w:rPr>
            </w:pPr>
            <w:r w:rsidRPr="00C93516">
              <w:rPr>
                <w:rFonts w:ascii="Calibri" w:eastAsia="Times New Roman" w:hAnsi="Calibri" w:cs="Calibri"/>
                <w:b/>
                <w:szCs w:val="18"/>
                <w:lang w:eastAsia="cs-CZ"/>
              </w:rPr>
              <w:t>zaměstnanci</w:t>
            </w:r>
          </w:p>
        </w:tc>
        <w:tc>
          <w:tcPr>
            <w:tcW w:w="2900" w:type="dxa"/>
            <w:tcBorders>
              <w:top w:val="nil"/>
              <w:left w:val="nil"/>
              <w:bottom w:val="single" w:sz="4" w:space="0" w:color="auto"/>
              <w:right w:val="single" w:sz="4" w:space="0" w:color="auto"/>
            </w:tcBorders>
            <w:shd w:val="clear" w:color="auto" w:fill="auto"/>
            <w:noWrap/>
            <w:vAlign w:val="bottom"/>
            <w:hideMark/>
          </w:tcPr>
          <w:p w:rsidR="00C93516" w:rsidRPr="00C93516" w:rsidRDefault="004B689A" w:rsidP="009A3319">
            <w:pPr>
              <w:spacing w:after="0" w:line="240" w:lineRule="auto"/>
              <w:rPr>
                <w:rFonts w:ascii="Calibri" w:eastAsia="Times New Roman" w:hAnsi="Calibri" w:cs="Calibri"/>
                <w:szCs w:val="18"/>
                <w:lang w:eastAsia="cs-CZ"/>
              </w:rPr>
            </w:pPr>
            <w:r w:rsidRPr="00C93516">
              <w:rPr>
                <w:rFonts w:ascii="Calibri" w:eastAsia="Times New Roman" w:hAnsi="Calibri" w:cs="Calibri"/>
                <w:szCs w:val="18"/>
                <w:lang w:eastAsia="cs-CZ"/>
              </w:rPr>
              <w:t>P</w:t>
            </w:r>
            <w:r w:rsidR="00C93516" w:rsidRPr="00C93516">
              <w:rPr>
                <w:rFonts w:ascii="Calibri" w:eastAsia="Times New Roman" w:hAnsi="Calibri" w:cs="Calibri"/>
                <w:szCs w:val="18"/>
                <w:lang w:eastAsia="cs-CZ"/>
              </w:rPr>
              <w:t>racoviště</w:t>
            </w:r>
            <w:r>
              <w:rPr>
                <w:rFonts w:ascii="Calibri" w:eastAsia="Times New Roman" w:hAnsi="Calibri" w:cs="Calibri"/>
                <w:szCs w:val="18"/>
                <w:lang w:eastAsia="cs-CZ"/>
              </w:rPr>
              <w:t xml:space="preserve"> </w:t>
            </w:r>
            <w:r w:rsidR="009A3319">
              <w:rPr>
                <w:rFonts w:ascii="Calibri" w:eastAsia="Times New Roman" w:hAnsi="Calibri" w:cs="Calibri"/>
                <w:szCs w:val="18"/>
                <w:vertAlign w:val="superscript"/>
                <w:lang w:eastAsia="cs-CZ"/>
              </w:rPr>
              <w:t>2</w:t>
            </w:r>
            <w:r w:rsidRPr="004B689A">
              <w:rPr>
                <w:rFonts w:ascii="Calibri" w:eastAsia="Times New Roman" w:hAnsi="Calibri" w:cs="Calibri"/>
                <w:szCs w:val="18"/>
                <w:vertAlign w:val="superscript"/>
                <w:lang w:eastAsia="cs-CZ"/>
              </w:rPr>
              <w:t>)</w:t>
            </w:r>
          </w:p>
        </w:tc>
        <w:tc>
          <w:tcPr>
            <w:tcW w:w="1020" w:type="dxa"/>
            <w:vMerge/>
            <w:tcBorders>
              <w:top w:val="nil"/>
              <w:left w:val="single" w:sz="4" w:space="0" w:color="auto"/>
              <w:bottom w:val="single" w:sz="4" w:space="0" w:color="auto"/>
              <w:right w:val="single" w:sz="4" w:space="0" w:color="auto"/>
            </w:tcBorders>
            <w:vAlign w:val="center"/>
            <w:hideMark/>
          </w:tcPr>
          <w:p w:rsidR="00C93516" w:rsidRPr="00C93516" w:rsidRDefault="00C93516" w:rsidP="00C93516">
            <w:pPr>
              <w:spacing w:after="0" w:line="240" w:lineRule="auto"/>
              <w:rPr>
                <w:rFonts w:ascii="Calibri" w:eastAsia="Times New Roman" w:hAnsi="Calibri" w:cs="Calibri"/>
                <w:szCs w:val="18"/>
                <w:lang w:eastAsia="cs-CZ"/>
              </w:rPr>
            </w:pPr>
          </w:p>
        </w:tc>
      </w:tr>
    </w:tbl>
    <w:p w:rsidR="009A3319" w:rsidRDefault="009A3319" w:rsidP="008633F2">
      <w:pPr>
        <w:shd w:val="clear" w:color="auto" w:fill="FFFFFF"/>
        <w:spacing w:before="240" w:after="0"/>
        <w:jc w:val="both"/>
        <w:rPr>
          <w:rStyle w:val="hgkelc"/>
        </w:rPr>
      </w:pPr>
      <w:r>
        <w:rPr>
          <w:rFonts w:ascii="Calibri" w:eastAsia="Times New Roman" w:hAnsi="Calibri" w:cs="Calibri"/>
          <w:szCs w:val="18"/>
          <w:vertAlign w:val="superscript"/>
          <w:lang w:eastAsia="cs-CZ"/>
        </w:rPr>
        <w:t>1</w:t>
      </w:r>
      <w:r w:rsidRPr="001923DE">
        <w:rPr>
          <w:rFonts w:ascii="Calibri" w:eastAsia="Times New Roman" w:hAnsi="Calibri" w:cs="Calibri"/>
          <w:szCs w:val="18"/>
          <w:vertAlign w:val="superscript"/>
          <w:lang w:eastAsia="cs-CZ"/>
        </w:rPr>
        <w:t xml:space="preserve">) </w:t>
      </w:r>
      <w:r>
        <w:rPr>
          <w:rStyle w:val="Siln"/>
          <w:rFonts w:cs="Arial"/>
          <w:b w:val="0"/>
          <w:szCs w:val="18"/>
        </w:rPr>
        <w:t>Občanská výstavba</w:t>
      </w:r>
      <w:r w:rsidRPr="001923DE">
        <w:rPr>
          <w:rStyle w:val="Siln"/>
          <w:rFonts w:cs="Arial"/>
          <w:b w:val="0"/>
          <w:szCs w:val="18"/>
        </w:rPr>
        <w:t xml:space="preserve"> </w:t>
      </w:r>
      <w:r>
        <w:rPr>
          <w:rStyle w:val="Siln"/>
          <w:rFonts w:cs="Arial"/>
          <w:b w:val="0"/>
          <w:szCs w:val="18"/>
        </w:rPr>
        <w:t>–</w:t>
      </w:r>
      <w:r w:rsidRPr="001923DE">
        <w:rPr>
          <w:rStyle w:val="Siln"/>
          <w:rFonts w:cs="Arial"/>
          <w:b w:val="0"/>
          <w:szCs w:val="18"/>
        </w:rPr>
        <w:t xml:space="preserve"> </w:t>
      </w:r>
      <w:r>
        <w:rPr>
          <w:rStyle w:val="hgkelc"/>
        </w:rPr>
        <w:t xml:space="preserve">stavby, které </w:t>
      </w:r>
      <w:r>
        <w:rPr>
          <w:rStyle w:val="hgkelc"/>
          <w:b/>
          <w:bCs/>
        </w:rPr>
        <w:t>jsou stavěny za účelem služby veřejnosti</w:t>
      </w:r>
      <w:r>
        <w:rPr>
          <w:rStyle w:val="hgkelc"/>
        </w:rPr>
        <w:t>, patří sem tedy především školy, nemocnice, lékárny, obchodní domy, stavby určené pro sport, kulturu, administrativní budovy, budovy sociální péče, hotely, restaurace, jídelny a další.</w:t>
      </w:r>
    </w:p>
    <w:p w:rsidR="00C93516" w:rsidRDefault="009A3319" w:rsidP="009A3319">
      <w:pPr>
        <w:shd w:val="clear" w:color="auto" w:fill="FFFFFF"/>
        <w:spacing w:after="0"/>
        <w:jc w:val="both"/>
        <w:rPr>
          <w:rStyle w:val="hgkelc"/>
        </w:rPr>
      </w:pPr>
      <w:r>
        <w:rPr>
          <w:rFonts w:ascii="Calibri" w:eastAsia="Times New Roman" w:hAnsi="Calibri" w:cs="Calibri"/>
          <w:szCs w:val="18"/>
          <w:vertAlign w:val="superscript"/>
          <w:lang w:eastAsia="cs-CZ"/>
        </w:rPr>
        <w:t>2</w:t>
      </w:r>
      <w:r w:rsidR="001923DE" w:rsidRPr="001923DE">
        <w:rPr>
          <w:rFonts w:ascii="Calibri" w:eastAsia="Times New Roman" w:hAnsi="Calibri" w:cs="Calibri"/>
          <w:szCs w:val="18"/>
          <w:vertAlign w:val="superscript"/>
          <w:lang w:eastAsia="cs-CZ"/>
        </w:rPr>
        <w:t xml:space="preserve">) </w:t>
      </w:r>
      <w:r w:rsidR="004B689A" w:rsidRPr="001923DE">
        <w:rPr>
          <w:rStyle w:val="Siln"/>
          <w:rFonts w:cs="Arial"/>
          <w:b w:val="0"/>
          <w:szCs w:val="18"/>
        </w:rPr>
        <w:t xml:space="preserve">Pracoviště - </w:t>
      </w:r>
      <w:r w:rsidR="001923DE">
        <w:rPr>
          <w:rStyle w:val="hgkelc"/>
        </w:rPr>
        <w:t xml:space="preserve">je </w:t>
      </w:r>
      <w:r w:rsidR="001923DE" w:rsidRPr="001923DE">
        <w:rPr>
          <w:rStyle w:val="hgkelc"/>
          <w:b/>
          <w:bCs/>
        </w:rPr>
        <w:t>místo výkonu práce</w:t>
      </w:r>
      <w:r w:rsidR="001923DE">
        <w:rPr>
          <w:rStyle w:val="hgkelc"/>
        </w:rPr>
        <w:t>. Je to místo, kde lidé plní úkoly, práci a zaměstnání pro svého zaměstnavatele.</w:t>
      </w:r>
    </w:p>
    <w:p w:rsidR="00C93516" w:rsidRPr="004F59C4" w:rsidRDefault="00F56E90" w:rsidP="00FE0C45">
      <w:r w:rsidRPr="004F59C4">
        <w:t>Orientační přehled obsluhy a práce na elektrických zařízeních pro jednotlivé stupně kvalifikace osob:</w:t>
      </w:r>
    </w:p>
    <w:tbl>
      <w:tblPr>
        <w:tblW w:w="8520" w:type="dxa"/>
        <w:tblInd w:w="65" w:type="dxa"/>
        <w:tblCellMar>
          <w:left w:w="70" w:type="dxa"/>
          <w:right w:w="70" w:type="dxa"/>
        </w:tblCellMar>
        <w:tblLook w:val="04A0"/>
      </w:tblPr>
      <w:tblGrid>
        <w:gridCol w:w="2361"/>
        <w:gridCol w:w="1813"/>
        <w:gridCol w:w="1419"/>
        <w:gridCol w:w="1339"/>
        <w:gridCol w:w="1588"/>
      </w:tblGrid>
      <w:tr w:rsidR="00F56E90" w:rsidRPr="00F56E90" w:rsidTr="00F56E90">
        <w:trPr>
          <w:trHeight w:val="287"/>
        </w:trPr>
        <w:tc>
          <w:tcPr>
            <w:tcW w:w="236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lastRenderedPageBreak/>
              <w:t>Klasifikace osob dle § 19 zákona č. 250/2021 Sb.</w:t>
            </w:r>
          </w:p>
        </w:tc>
        <w:tc>
          <w:tcPr>
            <w:tcW w:w="1813" w:type="dxa"/>
            <w:tcBorders>
              <w:top w:val="single" w:sz="4" w:space="0" w:color="auto"/>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Obsluha zařízení</w:t>
            </w:r>
          </w:p>
        </w:tc>
        <w:tc>
          <w:tcPr>
            <w:tcW w:w="4346" w:type="dxa"/>
            <w:gridSpan w:val="3"/>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Práce na zařízení</w:t>
            </w:r>
          </w:p>
        </w:tc>
      </w:tr>
      <w:tr w:rsidR="00F56E90" w:rsidRPr="00F56E90" w:rsidTr="00F56E90">
        <w:trPr>
          <w:trHeight w:val="287"/>
        </w:trPr>
        <w:tc>
          <w:tcPr>
            <w:tcW w:w="2361" w:type="dxa"/>
            <w:vMerge/>
            <w:tcBorders>
              <w:top w:val="single" w:sz="4" w:space="0" w:color="auto"/>
              <w:left w:val="single" w:sz="4" w:space="0" w:color="auto"/>
              <w:bottom w:val="single" w:sz="4" w:space="0" w:color="000000"/>
              <w:right w:val="single" w:sz="4" w:space="0" w:color="auto"/>
            </w:tcBorders>
            <w:vAlign w:val="center"/>
            <w:hideMark/>
          </w:tcPr>
          <w:p w:rsidR="00F56E90" w:rsidRPr="00F56E90" w:rsidRDefault="00F56E90" w:rsidP="00F56E90">
            <w:pPr>
              <w:spacing w:after="0" w:line="240" w:lineRule="auto"/>
              <w:rPr>
                <w:rFonts w:ascii="Calibri" w:eastAsia="Times New Roman" w:hAnsi="Calibri" w:cs="Calibri"/>
                <w:szCs w:val="18"/>
                <w:lang w:eastAsia="cs-CZ"/>
              </w:rPr>
            </w:pPr>
          </w:p>
        </w:tc>
        <w:tc>
          <w:tcPr>
            <w:tcW w:w="1813"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mn a nn</w:t>
            </w:r>
          </w:p>
        </w:tc>
        <w:tc>
          <w:tcPr>
            <w:tcW w:w="4346" w:type="dxa"/>
            <w:gridSpan w:val="3"/>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nn</w:t>
            </w:r>
          </w:p>
        </w:tc>
      </w:tr>
      <w:tr w:rsidR="00F56E90" w:rsidRPr="00F56E90" w:rsidTr="00F56E90">
        <w:trPr>
          <w:trHeight w:val="287"/>
        </w:trPr>
        <w:tc>
          <w:tcPr>
            <w:tcW w:w="2361" w:type="dxa"/>
            <w:vMerge/>
            <w:tcBorders>
              <w:top w:val="single" w:sz="4" w:space="0" w:color="auto"/>
              <w:left w:val="single" w:sz="4" w:space="0" w:color="auto"/>
              <w:bottom w:val="single" w:sz="4" w:space="0" w:color="000000"/>
              <w:right w:val="single" w:sz="4" w:space="0" w:color="auto"/>
            </w:tcBorders>
            <w:vAlign w:val="center"/>
            <w:hideMark/>
          </w:tcPr>
          <w:p w:rsidR="00F56E90" w:rsidRPr="00F56E90" w:rsidRDefault="00F56E90" w:rsidP="00F56E90">
            <w:pPr>
              <w:spacing w:after="0" w:line="240" w:lineRule="auto"/>
              <w:rPr>
                <w:rFonts w:ascii="Calibri" w:eastAsia="Times New Roman" w:hAnsi="Calibri" w:cs="Calibri"/>
                <w:szCs w:val="18"/>
                <w:lang w:eastAsia="cs-CZ"/>
              </w:rPr>
            </w:pPr>
          </w:p>
        </w:tc>
        <w:tc>
          <w:tcPr>
            <w:tcW w:w="1813"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 </w:t>
            </w:r>
          </w:p>
        </w:tc>
        <w:tc>
          <w:tcPr>
            <w:tcW w:w="1419"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bez napětí</w:t>
            </w:r>
          </w:p>
        </w:tc>
        <w:tc>
          <w:tcPr>
            <w:tcW w:w="1339"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v blízkosti</w:t>
            </w:r>
          </w:p>
        </w:tc>
        <w:tc>
          <w:tcPr>
            <w:tcW w:w="1588"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pod napětím</w:t>
            </w:r>
          </w:p>
        </w:tc>
      </w:tr>
      <w:tr w:rsidR="00F56E90" w:rsidRPr="00F56E90" w:rsidTr="00F56E90">
        <w:trPr>
          <w:trHeight w:val="594"/>
        </w:trPr>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osoba poučená</w:t>
            </w:r>
          </w:p>
        </w:tc>
        <w:tc>
          <w:tcPr>
            <w:tcW w:w="4571" w:type="dxa"/>
            <w:gridSpan w:val="3"/>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dle § 4 odst. 3 a odst. 4 nařízení vlády č. 194/2021 Sb., v souladu s ČSN EN 50110-1 ed.3</w:t>
            </w:r>
          </w:p>
        </w:tc>
        <w:tc>
          <w:tcPr>
            <w:tcW w:w="1588" w:type="dxa"/>
            <w:tcBorders>
              <w:top w:val="nil"/>
              <w:left w:val="nil"/>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nesmí</w:t>
            </w:r>
          </w:p>
        </w:tc>
      </w:tr>
      <w:tr w:rsidR="00F56E90" w:rsidRPr="00F56E90" w:rsidTr="00F56E90">
        <w:trPr>
          <w:trHeight w:val="554"/>
        </w:trPr>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F56E90" w:rsidRPr="00F56E90" w:rsidRDefault="00F56E90" w:rsidP="00F56E90">
            <w:pPr>
              <w:spacing w:after="0" w:line="240" w:lineRule="auto"/>
              <w:rPr>
                <w:rFonts w:ascii="Calibri" w:eastAsia="Times New Roman" w:hAnsi="Calibri" w:cs="Calibri"/>
                <w:szCs w:val="18"/>
                <w:lang w:eastAsia="cs-CZ"/>
              </w:rPr>
            </w:pPr>
            <w:r w:rsidRPr="00F56E90">
              <w:rPr>
                <w:rFonts w:ascii="Calibri" w:eastAsia="Times New Roman" w:hAnsi="Calibri" w:cs="Calibri"/>
                <w:szCs w:val="18"/>
                <w:lang w:eastAsia="cs-CZ"/>
              </w:rPr>
              <w:t>osoba znalá</w:t>
            </w:r>
          </w:p>
        </w:tc>
        <w:tc>
          <w:tcPr>
            <w:tcW w:w="6159" w:type="dxa"/>
            <w:gridSpan w:val="4"/>
            <w:tcBorders>
              <w:top w:val="single" w:sz="4" w:space="0" w:color="auto"/>
              <w:left w:val="nil"/>
              <w:bottom w:val="single" w:sz="4" w:space="0" w:color="auto"/>
              <w:right w:val="single" w:sz="4" w:space="0" w:color="000000"/>
            </w:tcBorders>
            <w:shd w:val="clear" w:color="auto" w:fill="auto"/>
            <w:vAlign w:val="bottom"/>
            <w:hideMark/>
          </w:tcPr>
          <w:p w:rsidR="00F56E90" w:rsidRPr="00F56E90" w:rsidRDefault="00F56E90" w:rsidP="00F56E90">
            <w:pPr>
              <w:spacing w:after="0" w:line="240" w:lineRule="auto"/>
              <w:jc w:val="center"/>
              <w:rPr>
                <w:rFonts w:ascii="Calibri" w:eastAsia="Times New Roman" w:hAnsi="Calibri" w:cs="Calibri"/>
                <w:szCs w:val="18"/>
                <w:lang w:eastAsia="cs-CZ"/>
              </w:rPr>
            </w:pPr>
            <w:r w:rsidRPr="00F56E90">
              <w:rPr>
                <w:rFonts w:ascii="Calibri" w:eastAsia="Times New Roman" w:hAnsi="Calibri" w:cs="Calibri"/>
                <w:szCs w:val="18"/>
                <w:lang w:eastAsia="cs-CZ"/>
              </w:rPr>
              <w:t>dle stupně odborné způsobilosti podle § 19 odst. 1 zákona č. 250/2021 Sb. , v souladu s normou ČSN EN 50110-1 ed.3</w:t>
            </w:r>
          </w:p>
        </w:tc>
      </w:tr>
    </w:tbl>
    <w:p w:rsidR="00F56E90" w:rsidRDefault="00F56E90" w:rsidP="00F56E90">
      <w:pPr>
        <w:spacing w:after="0"/>
        <w:rPr>
          <w:rFonts w:cs="Arial"/>
          <w:sz w:val="20"/>
          <w:szCs w:val="20"/>
        </w:rPr>
      </w:pPr>
    </w:p>
    <w:p w:rsidR="00EC29BA" w:rsidRPr="004F59C4" w:rsidRDefault="004F59C4" w:rsidP="008C2C72">
      <w:pPr>
        <w:shd w:val="clear" w:color="auto" w:fill="FFFFFF"/>
        <w:spacing w:after="0" w:line="360" w:lineRule="auto"/>
        <w:rPr>
          <w:rFonts w:cs="Arial"/>
          <w:szCs w:val="18"/>
        </w:rPr>
      </w:pPr>
      <w:r w:rsidRPr="004F59C4">
        <w:rPr>
          <w:rFonts w:cs="Arial"/>
          <w:szCs w:val="18"/>
        </w:rPr>
        <w:t xml:space="preserve">Definice </w:t>
      </w:r>
      <w:r w:rsidR="00A103E1">
        <w:rPr>
          <w:rFonts w:cs="Arial"/>
          <w:szCs w:val="18"/>
        </w:rPr>
        <w:t>pojmů</w:t>
      </w:r>
      <w:r w:rsidRPr="004F59C4">
        <w:rPr>
          <w:rFonts w:cs="Arial"/>
          <w:szCs w:val="18"/>
        </w:rPr>
        <w:t>:</w:t>
      </w:r>
    </w:p>
    <w:p w:rsidR="004F59C4" w:rsidRPr="00FE7DBD" w:rsidRDefault="004F59C4" w:rsidP="004F59C4">
      <w:pPr>
        <w:jc w:val="both"/>
        <w:rPr>
          <w:rFonts w:cs="Arial"/>
          <w:szCs w:val="18"/>
        </w:rPr>
      </w:pPr>
      <w:r w:rsidRPr="004F59C4">
        <w:rPr>
          <w:b/>
          <w:bCs/>
        </w:rPr>
        <w:t>Veřejnost</w:t>
      </w:r>
      <w:r w:rsidRPr="004F59C4">
        <w:t xml:space="preserve"> je velmi obecný pojem, který zahrnuje všechny </w:t>
      </w:r>
      <w:hyperlink r:id="rId9" w:tooltip="Člověk" w:history="1">
        <w:r w:rsidRPr="00FE7DBD">
          <w:rPr>
            <w:rStyle w:val="Hypertextovodkaz"/>
            <w:color w:val="002060"/>
            <w:u w:val="none"/>
          </w:rPr>
          <w:t>lidi</w:t>
        </w:r>
      </w:hyperlink>
      <w:r w:rsidRPr="00FE7DBD">
        <w:t xml:space="preserve">, resp. </w:t>
      </w:r>
      <w:hyperlink r:id="rId10" w:tooltip="Občanství" w:history="1">
        <w:r w:rsidRPr="00FE7DBD">
          <w:rPr>
            <w:rStyle w:val="Hypertextovodkaz"/>
            <w:color w:val="002060"/>
            <w:u w:val="none"/>
          </w:rPr>
          <w:t>občany</w:t>
        </w:r>
      </w:hyperlink>
      <w:r w:rsidRPr="00FE7DBD">
        <w:t xml:space="preserve">. Jde o termín významově zcela neutrální, neboť osoby nijak nekategorizuje a společensky nijak dále nevymezuje. Do tohoto pojmu v nejširším slova smyslu slova tedy spadají všichni občané, a to prakticky bez jakéhokoliv myslitelného rozdílu, jako který by se nabízel věk, </w:t>
      </w:r>
      <w:hyperlink r:id="rId11" w:tooltip="Pohlavnost" w:history="1">
        <w:r w:rsidRPr="00FE7DBD">
          <w:rPr>
            <w:rStyle w:val="Hypertextovodkaz"/>
            <w:color w:val="002060"/>
            <w:u w:val="none"/>
          </w:rPr>
          <w:t>pohlaví</w:t>
        </w:r>
      </w:hyperlink>
      <w:r w:rsidRPr="00FE7DBD">
        <w:t xml:space="preserve">, </w:t>
      </w:r>
      <w:hyperlink r:id="rId12" w:tooltip="Národnost" w:history="1">
        <w:r w:rsidRPr="00FE7DBD">
          <w:rPr>
            <w:rStyle w:val="Hypertextovodkaz"/>
            <w:color w:val="002060"/>
            <w:u w:val="none"/>
          </w:rPr>
          <w:t>národnost</w:t>
        </w:r>
      </w:hyperlink>
      <w:r w:rsidRPr="00FE7DBD">
        <w:t xml:space="preserve">, </w:t>
      </w:r>
      <w:hyperlink r:id="rId13" w:tooltip="Etnikum" w:history="1">
        <w:r w:rsidRPr="00FE7DBD">
          <w:rPr>
            <w:rStyle w:val="Hypertextovodkaz"/>
            <w:color w:val="002060"/>
            <w:u w:val="none"/>
          </w:rPr>
          <w:t>etnická</w:t>
        </w:r>
      </w:hyperlink>
      <w:r w:rsidRPr="00FE7DBD">
        <w:t xml:space="preserve"> a </w:t>
      </w:r>
      <w:hyperlink r:id="rId14" w:tooltip="Občanství" w:history="1">
        <w:r w:rsidRPr="00FE7DBD">
          <w:rPr>
            <w:rStyle w:val="Hypertextovodkaz"/>
            <w:color w:val="002060"/>
            <w:u w:val="none"/>
          </w:rPr>
          <w:t>státní příslušnost</w:t>
        </w:r>
      </w:hyperlink>
      <w:r w:rsidRPr="00FE7DBD">
        <w:t xml:space="preserve">, </w:t>
      </w:r>
      <w:hyperlink r:id="rId15" w:tooltip="Náboženství" w:history="1">
        <w:r w:rsidRPr="00FE7DBD">
          <w:rPr>
            <w:rStyle w:val="Hypertextovodkaz"/>
            <w:color w:val="002060"/>
            <w:u w:val="none"/>
          </w:rPr>
          <w:t>náboženské vyznání</w:t>
        </w:r>
      </w:hyperlink>
      <w:r w:rsidRPr="00FE7DBD">
        <w:t xml:space="preserve">, </w:t>
      </w:r>
      <w:hyperlink r:id="rId16" w:tooltip="Sexuální orientace" w:history="1">
        <w:r w:rsidRPr="00FE7DBD">
          <w:rPr>
            <w:rStyle w:val="Hypertextovodkaz"/>
            <w:color w:val="002060"/>
            <w:u w:val="none"/>
          </w:rPr>
          <w:t>sexuální</w:t>
        </w:r>
      </w:hyperlink>
      <w:r w:rsidRPr="00FE7DBD">
        <w:t xml:space="preserve"> a </w:t>
      </w:r>
      <w:hyperlink r:id="rId17" w:tooltip="Politika" w:history="1">
        <w:r w:rsidRPr="00FE7DBD">
          <w:rPr>
            <w:rStyle w:val="Hypertextovodkaz"/>
            <w:color w:val="002060"/>
            <w:u w:val="none"/>
          </w:rPr>
          <w:t>politická orientace</w:t>
        </w:r>
      </w:hyperlink>
      <w:r w:rsidRPr="00FE7DBD">
        <w:t xml:space="preserve">, </w:t>
      </w:r>
      <w:hyperlink r:id="rId18" w:tooltip="Lidská rasa" w:history="1">
        <w:r w:rsidRPr="00FE7DBD">
          <w:rPr>
            <w:rStyle w:val="Hypertextovodkaz"/>
            <w:color w:val="002060"/>
            <w:u w:val="none"/>
          </w:rPr>
          <w:t>lidská rasa</w:t>
        </w:r>
      </w:hyperlink>
      <w:r w:rsidRPr="00FE7DBD">
        <w:t xml:space="preserve">, </w:t>
      </w:r>
      <w:hyperlink r:id="rId19" w:tooltip="Sociální status" w:history="1">
        <w:r w:rsidRPr="00FE7DBD">
          <w:rPr>
            <w:rStyle w:val="Hypertextovodkaz"/>
            <w:color w:val="002060"/>
            <w:u w:val="none"/>
          </w:rPr>
          <w:t>sociální postavení</w:t>
        </w:r>
      </w:hyperlink>
      <w:r w:rsidRPr="00FE7DBD">
        <w:t xml:space="preserve"> atd.</w:t>
      </w:r>
      <w:r w:rsidR="005305EA" w:rsidRPr="00FE7DBD">
        <w:t xml:space="preserve"> – zdroj: https://cs.wikipedia.org</w:t>
      </w:r>
    </w:p>
    <w:p w:rsidR="00A103E1" w:rsidRDefault="00A103E1" w:rsidP="00A103E1">
      <w:pPr>
        <w:jc w:val="both"/>
        <w:rPr>
          <w:rFonts w:eastAsia="Times New Roman" w:cs="Arial"/>
          <w:szCs w:val="18"/>
          <w:lang w:eastAsia="cs-CZ"/>
        </w:rPr>
      </w:pPr>
      <w:r>
        <w:rPr>
          <w:b/>
          <w:bCs/>
        </w:rPr>
        <w:t xml:space="preserve">Osoba školená (BA1 - zaměstnanci) -  </w:t>
      </w:r>
      <w:r w:rsidRPr="001C33FD">
        <w:rPr>
          <w:bCs/>
        </w:rPr>
        <w:t xml:space="preserve">dle </w:t>
      </w:r>
      <w:r>
        <w:rPr>
          <w:bCs/>
        </w:rPr>
        <w:t xml:space="preserve">zákona č. 262/2006 Sb., zákoník práce </w:t>
      </w:r>
      <w:r w:rsidRPr="001C33FD">
        <w:rPr>
          <w:rFonts w:eastAsia="Times New Roman" w:cs="Arial"/>
          <w:szCs w:val="18"/>
          <w:lang w:eastAsia="cs-CZ"/>
        </w:rPr>
        <w:t>§</w:t>
      </w:r>
      <w:r>
        <w:rPr>
          <w:rFonts w:eastAsia="Times New Roman" w:cs="Arial"/>
          <w:szCs w:val="18"/>
          <w:lang w:eastAsia="cs-CZ"/>
        </w:rPr>
        <w:t xml:space="preserve"> 103 povinnosti zaměstnavatele – Zaměstnavatel je povinnen zajistit zaměstnancům školení o právních a ostatních předpisech k zajištění bezpečnosti a ochrany zdraví při práci, které se vztahujík rizikům, s nimiž může přijít zaměstnanec do styku na pracovišti, na kterém je práce vykonávána, a soustavně vyžadovat a kontrolovat jejich dodržování. </w:t>
      </w:r>
    </w:p>
    <w:p w:rsidR="00A103E1" w:rsidRDefault="00A103E1" w:rsidP="00A103E1">
      <w:pPr>
        <w:shd w:val="clear" w:color="auto" w:fill="FFFFFF"/>
        <w:spacing w:after="0"/>
        <w:jc w:val="both"/>
      </w:pPr>
      <w:r>
        <w:rPr>
          <w:b/>
          <w:bCs/>
        </w:rPr>
        <w:t>Osoba poučená BA4 -  (</w:t>
      </w:r>
      <w:r>
        <w:rPr>
          <w:rStyle w:val="Siln"/>
        </w:rPr>
        <w:t>nemusí mít odborné vzdělání elektro)</w:t>
      </w:r>
      <w:r>
        <w:t xml:space="preserve"> osoba poučená je odborně způsobilá osoba, která byla v rozsahu své činnosti školena o právních a ostatních předpisech k zajištění bezpečnosti a ochrany zdraví při práci pro činnost na elektrických zařízeních a v jejich blízkosti, dále byla školena v oblasti možných zdrojů a příčin rizik na elektrických zařízeních a v jejich blízkosti, upozorněna na možné ohrožení elektrickými zařízeními, seznámena s postupy pro poskytnutí první pomoci při úrazech elektrickým proudem a byly u ní tyto znalosti ověřeny; za osobu poučenou se považuje rovněž osoba znalá, jejíž přezkoušení podle tohoto nařízení pozbylo platnosti, přičemž tato osoba může po úspěšném složení zkoušky o způsobilosti k výkonu činností v elektrotechnice opět získat stupeň odborné způsobilosti osoby znalé.</w:t>
      </w:r>
    </w:p>
    <w:p w:rsidR="00A103E1" w:rsidRPr="0016716F" w:rsidRDefault="00A103E1" w:rsidP="00A103E1">
      <w:pPr>
        <w:shd w:val="clear" w:color="auto" w:fill="FFFFFF"/>
        <w:spacing w:after="0"/>
        <w:jc w:val="both"/>
        <w:rPr>
          <w:rFonts w:cs="Arial"/>
          <w:sz w:val="20"/>
          <w:szCs w:val="20"/>
        </w:rPr>
      </w:pPr>
    </w:p>
    <w:p w:rsidR="00A103E1" w:rsidRDefault="00A103E1" w:rsidP="00A103E1">
      <w:pPr>
        <w:shd w:val="clear" w:color="auto" w:fill="FFFFFF"/>
        <w:spacing w:after="0"/>
        <w:jc w:val="both"/>
      </w:pPr>
      <w:r>
        <w:rPr>
          <w:b/>
          <w:bCs/>
        </w:rPr>
        <w:t xml:space="preserve">Osoba znalá BA5 -  </w:t>
      </w:r>
      <w:r>
        <w:rPr>
          <w:rStyle w:val="Siln"/>
        </w:rPr>
        <w:t xml:space="preserve">(musí mít odborné vzdělání elektro) </w:t>
      </w:r>
      <w:r>
        <w:t>osoba znalá je odborně způsobilá vykonávat veškeré práce na elektrickém zařízení v rozsahu vydaného dokladu o úspěšném složení zkoušky z odborné způsobilosti k výkonu činností v elektrotechnice.</w:t>
      </w:r>
    </w:p>
    <w:p w:rsidR="00A103E1" w:rsidRPr="0001252E" w:rsidRDefault="00A103E1" w:rsidP="00A103E1">
      <w:pPr>
        <w:spacing w:after="0" w:line="240" w:lineRule="auto"/>
        <w:rPr>
          <w:lang w:eastAsia="cs-CZ"/>
        </w:rPr>
      </w:pPr>
      <w:r w:rsidRPr="0001252E">
        <w:rPr>
          <w:lang w:eastAsia="cs-CZ"/>
        </w:rPr>
        <w:t>Osoby znalé jsou:</w:t>
      </w:r>
    </w:p>
    <w:p w:rsidR="00A103E1" w:rsidRPr="0001252E" w:rsidRDefault="00A103E1" w:rsidP="00A103E1">
      <w:pPr>
        <w:pStyle w:val="Odstavecseseznamem"/>
        <w:numPr>
          <w:ilvl w:val="0"/>
          <w:numId w:val="8"/>
        </w:numPr>
        <w:spacing w:after="0" w:line="240" w:lineRule="auto"/>
        <w:rPr>
          <w:lang w:eastAsia="cs-CZ"/>
        </w:rPr>
      </w:pPr>
      <w:r w:rsidRPr="0001252E">
        <w:rPr>
          <w:b/>
          <w:bCs/>
          <w:lang w:eastAsia="cs-CZ"/>
        </w:rPr>
        <w:t>osoba znalá pro samostatnou činnost – elektrotechnik,</w:t>
      </w:r>
      <w:r w:rsidRPr="0001252E">
        <w:rPr>
          <w:lang w:eastAsia="cs-CZ"/>
        </w:rPr>
        <w:t xml:space="preserve"> § 6,</w:t>
      </w:r>
    </w:p>
    <w:p w:rsidR="00A103E1" w:rsidRPr="0001252E" w:rsidRDefault="00A103E1" w:rsidP="00A103E1">
      <w:pPr>
        <w:pStyle w:val="Odstavecseseznamem"/>
        <w:numPr>
          <w:ilvl w:val="0"/>
          <w:numId w:val="8"/>
        </w:numPr>
        <w:spacing w:after="0" w:line="240" w:lineRule="auto"/>
        <w:rPr>
          <w:lang w:eastAsia="cs-CZ"/>
        </w:rPr>
      </w:pPr>
      <w:r w:rsidRPr="0001252E">
        <w:rPr>
          <w:b/>
          <w:bCs/>
          <w:lang w:eastAsia="cs-CZ"/>
        </w:rPr>
        <w:t>osoba znalá pro řízení činnosti – vedoucí elektrotechnik,</w:t>
      </w:r>
      <w:r w:rsidRPr="0001252E">
        <w:rPr>
          <w:lang w:eastAsia="cs-CZ"/>
        </w:rPr>
        <w:t xml:space="preserve"> § 7,</w:t>
      </w:r>
    </w:p>
    <w:p w:rsidR="00A103E1" w:rsidRPr="0001252E" w:rsidRDefault="00A103E1" w:rsidP="00A103E1">
      <w:pPr>
        <w:pStyle w:val="Odstavecseseznamem"/>
        <w:numPr>
          <w:ilvl w:val="0"/>
          <w:numId w:val="8"/>
        </w:numPr>
        <w:spacing w:after="0" w:line="240" w:lineRule="auto"/>
        <w:rPr>
          <w:lang w:eastAsia="cs-CZ"/>
        </w:rPr>
      </w:pPr>
      <w:r w:rsidRPr="0001252E">
        <w:rPr>
          <w:b/>
          <w:bCs/>
          <w:lang w:eastAsia="cs-CZ"/>
        </w:rPr>
        <w:t>revizní technik</w:t>
      </w:r>
      <w:r w:rsidRPr="0001252E">
        <w:rPr>
          <w:lang w:eastAsia="cs-CZ"/>
        </w:rPr>
        <w:t>, § 8.</w:t>
      </w: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EC29BA" w:rsidRDefault="00EC29BA" w:rsidP="00C93516">
      <w:pPr>
        <w:shd w:val="clear" w:color="auto" w:fill="FFFFFF"/>
        <w:rPr>
          <w:rFonts w:cs="Arial"/>
          <w:sz w:val="20"/>
          <w:szCs w:val="20"/>
        </w:rPr>
      </w:pPr>
    </w:p>
    <w:p w:rsidR="00F04785" w:rsidRDefault="00F04785" w:rsidP="00025FF7">
      <w:pPr>
        <w:tabs>
          <w:tab w:val="left" w:pos="3647"/>
        </w:tabs>
        <w:rPr>
          <w:rFonts w:cs="Arial"/>
          <w:sz w:val="20"/>
          <w:szCs w:val="20"/>
        </w:rPr>
      </w:pPr>
    </w:p>
    <w:p w:rsidR="00681657" w:rsidRDefault="00681657" w:rsidP="00025FF7">
      <w:pPr>
        <w:tabs>
          <w:tab w:val="left" w:pos="3647"/>
        </w:tabs>
        <w:rPr>
          <w:rFonts w:cs="Arial"/>
          <w:sz w:val="20"/>
          <w:szCs w:val="20"/>
        </w:rPr>
      </w:pPr>
    </w:p>
    <w:p w:rsidR="00681657" w:rsidRDefault="00681657" w:rsidP="00025FF7">
      <w:pPr>
        <w:tabs>
          <w:tab w:val="left" w:pos="3647"/>
        </w:tabs>
        <w:rPr>
          <w:rFonts w:cs="Arial"/>
          <w:sz w:val="20"/>
          <w:szCs w:val="20"/>
        </w:rPr>
      </w:pPr>
    </w:p>
    <w:p w:rsidR="00681657" w:rsidRDefault="00681657" w:rsidP="00025FF7">
      <w:pPr>
        <w:tabs>
          <w:tab w:val="left" w:pos="3647"/>
        </w:tabs>
        <w:rPr>
          <w:rFonts w:cs="Arial"/>
          <w:sz w:val="20"/>
          <w:szCs w:val="20"/>
        </w:rPr>
      </w:pPr>
    </w:p>
    <w:p w:rsidR="00FE7DBD" w:rsidRDefault="00FE7DBD" w:rsidP="00FE7DBD">
      <w:pPr>
        <w:tabs>
          <w:tab w:val="left" w:pos="3647"/>
        </w:tabs>
        <w:spacing w:after="0"/>
        <w:rPr>
          <w:rFonts w:cs="Arial"/>
          <w:b/>
          <w:color w:val="0070C0"/>
          <w:szCs w:val="18"/>
        </w:rPr>
      </w:pPr>
      <w:r>
        <w:rPr>
          <w:rFonts w:cs="Arial"/>
          <w:b/>
          <w:color w:val="0070C0"/>
          <w:szCs w:val="18"/>
        </w:rPr>
        <w:lastRenderedPageBreak/>
        <w:t>P</w:t>
      </w:r>
      <w:r w:rsidRPr="00975B28">
        <w:rPr>
          <w:rFonts w:cs="Arial"/>
          <w:b/>
          <w:color w:val="0070C0"/>
          <w:szCs w:val="18"/>
        </w:rPr>
        <w:t xml:space="preserve">říloha č. </w:t>
      </w:r>
      <w:r>
        <w:rPr>
          <w:rFonts w:cs="Arial"/>
          <w:b/>
          <w:color w:val="0070C0"/>
          <w:szCs w:val="18"/>
        </w:rPr>
        <w:t>1</w:t>
      </w:r>
      <w:r w:rsidRPr="00975B28">
        <w:rPr>
          <w:rFonts w:cs="Arial"/>
          <w:b/>
          <w:color w:val="0070C0"/>
          <w:szCs w:val="18"/>
        </w:rPr>
        <w:t xml:space="preserve"> - společné vnější vlivy pro dané prostory:</w:t>
      </w:r>
    </w:p>
    <w:p w:rsidR="00D215AF" w:rsidRPr="00AF69BB" w:rsidRDefault="00D215AF" w:rsidP="00D215AF">
      <w:pPr>
        <w:tabs>
          <w:tab w:val="left" w:pos="3647"/>
        </w:tabs>
        <w:spacing w:after="0"/>
        <w:jc w:val="both"/>
        <w:rPr>
          <w:rFonts w:cs="Arial"/>
          <w:b/>
          <w:szCs w:val="18"/>
        </w:rPr>
      </w:pPr>
      <w:r w:rsidRPr="00AF69BB">
        <w:rPr>
          <w:rFonts w:cs="Arial"/>
          <w:b/>
          <w:szCs w:val="18"/>
        </w:rPr>
        <w:t xml:space="preserve">Vnitřní prostory </w:t>
      </w:r>
      <w:r w:rsidR="00681657">
        <w:rPr>
          <w:rFonts w:cs="Arial"/>
          <w:b/>
          <w:szCs w:val="18"/>
        </w:rPr>
        <w:t>–</w:t>
      </w:r>
      <w:r>
        <w:rPr>
          <w:rFonts w:cs="Arial"/>
          <w:b/>
          <w:szCs w:val="18"/>
        </w:rPr>
        <w:t xml:space="preserve"> </w:t>
      </w:r>
      <w:r w:rsidR="00681657">
        <w:rPr>
          <w:rFonts w:cs="Arial"/>
          <w:b/>
          <w:szCs w:val="18"/>
        </w:rPr>
        <w:t>BYTOV</w:t>
      </w:r>
      <w:r w:rsidR="00EA4BC1">
        <w:rPr>
          <w:rFonts w:cs="Arial"/>
          <w:b/>
          <w:szCs w:val="18"/>
        </w:rPr>
        <w:t>Á</w:t>
      </w:r>
      <w:r w:rsidR="00681657">
        <w:rPr>
          <w:rFonts w:cs="Arial"/>
          <w:b/>
          <w:szCs w:val="18"/>
        </w:rPr>
        <w:t xml:space="preserve"> JEDNOTK</w:t>
      </w:r>
      <w:r w:rsidR="00EA4BC1">
        <w:rPr>
          <w:rFonts w:cs="Arial"/>
          <w:b/>
          <w:szCs w:val="18"/>
        </w:rPr>
        <w:t>A č.</w:t>
      </w:r>
      <w:r w:rsidR="008F7E4D">
        <w:rPr>
          <w:rFonts w:cs="Arial"/>
          <w:b/>
          <w:szCs w:val="18"/>
        </w:rPr>
        <w:t>10</w:t>
      </w:r>
    </w:p>
    <w:p w:rsidR="00D215AF" w:rsidRDefault="00D215AF" w:rsidP="00D215AF">
      <w:pPr>
        <w:tabs>
          <w:tab w:val="left" w:pos="3647"/>
        </w:tabs>
        <w:spacing w:after="0"/>
        <w:rPr>
          <w:rFonts w:cs="Arial"/>
          <w:b/>
          <w:sz w:val="20"/>
          <w:szCs w:val="20"/>
        </w:rPr>
      </w:pPr>
    </w:p>
    <w:p w:rsidR="00D215AF" w:rsidRPr="00AA0ABC" w:rsidRDefault="00D215AF" w:rsidP="00D215AF">
      <w:pPr>
        <w:tabs>
          <w:tab w:val="left" w:pos="3647"/>
        </w:tabs>
        <w:spacing w:after="0"/>
        <w:rPr>
          <w:rFonts w:cs="Arial"/>
          <w:b/>
          <w:sz w:val="20"/>
          <w:szCs w:val="20"/>
        </w:rPr>
      </w:pPr>
      <w:r w:rsidRPr="00AA0ABC">
        <w:rPr>
          <w:rFonts w:cs="Arial"/>
          <w:b/>
          <w:sz w:val="20"/>
          <w:szCs w:val="20"/>
        </w:rPr>
        <w:t>Rozhodnutí:</w:t>
      </w:r>
    </w:p>
    <w:p w:rsidR="00D215AF" w:rsidRPr="00AB0E3C" w:rsidRDefault="00D215AF" w:rsidP="00D215AF">
      <w:pPr>
        <w:tabs>
          <w:tab w:val="left" w:pos="3647"/>
        </w:tabs>
        <w:jc w:val="both"/>
        <w:rPr>
          <w:rFonts w:cs="Arial"/>
          <w:b/>
          <w:szCs w:val="18"/>
        </w:rPr>
      </w:pPr>
      <w:r w:rsidRPr="00AB0E3C">
        <w:rPr>
          <w:rFonts w:cs="Arial"/>
          <w:szCs w:val="18"/>
        </w:rPr>
        <w:t xml:space="preserve">V pojetí ČSN EN 61140 ed.3 čl. 4.4 se jedná o prostory, které </w:t>
      </w:r>
      <w:r w:rsidRPr="00AB0E3C">
        <w:rPr>
          <w:rFonts w:cs="Arial"/>
          <w:b/>
          <w:szCs w:val="18"/>
          <w:u w:val="single"/>
        </w:rPr>
        <w:t>nezvyšují nebezpečí úrazu elektrickým proudem.</w:t>
      </w:r>
    </w:p>
    <w:p w:rsidR="00D215AF" w:rsidRDefault="00D215AF" w:rsidP="00D215AF">
      <w:pPr>
        <w:tabs>
          <w:tab w:val="left" w:pos="3647"/>
        </w:tabs>
        <w:spacing w:after="0"/>
        <w:jc w:val="both"/>
        <w:rPr>
          <w:color w:val="001F5F"/>
          <w:szCs w:val="18"/>
        </w:rPr>
      </w:pPr>
      <w:r>
        <w:rPr>
          <w:color w:val="001F5F"/>
          <w:szCs w:val="18"/>
        </w:rPr>
        <w:t>Elektrické instalace v místech, které nebezpečí úrazu elektrickým proudem zvyšují (tj. prostory pro laiky s vnějšími vlivy abnormálními ve smyslu TNI 33 2000-5-51:2022, čl. 4.12.3), budou řešeny dle:</w:t>
      </w:r>
    </w:p>
    <w:p w:rsidR="00D215AF" w:rsidRPr="00983957" w:rsidRDefault="00D215AF" w:rsidP="00D215AF">
      <w:pPr>
        <w:pStyle w:val="Odstavecseseznamem"/>
        <w:numPr>
          <w:ilvl w:val="0"/>
          <w:numId w:val="9"/>
        </w:numPr>
        <w:tabs>
          <w:tab w:val="left" w:pos="3647"/>
        </w:tabs>
        <w:spacing w:after="0"/>
        <w:jc w:val="both"/>
        <w:rPr>
          <w:rFonts w:cs="Arial"/>
          <w:b/>
          <w:szCs w:val="18"/>
        </w:rPr>
      </w:pPr>
      <w:r w:rsidRPr="00983957">
        <w:rPr>
          <w:color w:val="001F5F"/>
          <w:szCs w:val="18"/>
        </w:rPr>
        <w:t xml:space="preserve">ČSN 33 2130 ed. </w:t>
      </w:r>
      <w:r>
        <w:rPr>
          <w:color w:val="001F5F"/>
          <w:szCs w:val="18"/>
        </w:rPr>
        <w:t>4</w:t>
      </w:r>
      <w:r w:rsidRPr="00983957">
        <w:rPr>
          <w:color w:val="001F5F"/>
          <w:szCs w:val="18"/>
        </w:rPr>
        <w:t xml:space="preserve"> </w:t>
      </w:r>
      <w:r>
        <w:rPr>
          <w:color w:val="001F5F"/>
          <w:szCs w:val="18"/>
        </w:rPr>
        <w:t xml:space="preserve">- </w:t>
      </w:r>
      <w:r w:rsidRPr="00983957">
        <w:rPr>
          <w:color w:val="001F5F"/>
          <w:szCs w:val="18"/>
        </w:rPr>
        <w:t>umývací prostory</w:t>
      </w:r>
    </w:p>
    <w:p w:rsidR="00D215AF" w:rsidRPr="0025384A" w:rsidRDefault="00D215AF" w:rsidP="00D215AF">
      <w:pPr>
        <w:pStyle w:val="Odstavecseseznamem"/>
        <w:numPr>
          <w:ilvl w:val="0"/>
          <w:numId w:val="9"/>
        </w:numPr>
        <w:tabs>
          <w:tab w:val="left" w:pos="3647"/>
        </w:tabs>
        <w:spacing w:after="0"/>
        <w:jc w:val="both"/>
        <w:rPr>
          <w:rFonts w:cs="Arial"/>
          <w:b/>
          <w:szCs w:val="18"/>
        </w:rPr>
      </w:pPr>
      <w:r w:rsidRPr="0025384A">
        <w:rPr>
          <w:color w:val="001F5F"/>
          <w:szCs w:val="18"/>
        </w:rPr>
        <w:t xml:space="preserve">ČSN 33 2000-7-701 ed. 2 prostory s vanou nebo sprchou </w:t>
      </w:r>
    </w:p>
    <w:p w:rsidR="00D215AF" w:rsidRPr="0025384A" w:rsidRDefault="00D215AF" w:rsidP="00D215AF">
      <w:pPr>
        <w:pStyle w:val="Odstavecseseznamem"/>
        <w:tabs>
          <w:tab w:val="left" w:pos="3647"/>
        </w:tabs>
        <w:spacing w:after="0"/>
        <w:jc w:val="both"/>
        <w:rPr>
          <w:rFonts w:cs="Arial"/>
          <w:b/>
          <w:szCs w:val="18"/>
        </w:rPr>
      </w:pPr>
    </w:p>
    <w:p w:rsidR="00D215AF" w:rsidRDefault="00D215AF" w:rsidP="00D215AF">
      <w:pPr>
        <w:tabs>
          <w:tab w:val="left" w:pos="3647"/>
        </w:tabs>
        <w:jc w:val="both"/>
        <w:rPr>
          <w:rFonts w:cs="Arial"/>
          <w:szCs w:val="18"/>
        </w:rPr>
      </w:pPr>
      <w:r w:rsidRPr="00C51315">
        <w:rPr>
          <w:rFonts w:cs="Arial"/>
          <w:szCs w:val="18"/>
        </w:rPr>
        <w:t>Dle ČSN 33 2130 ed.</w:t>
      </w:r>
      <w:r>
        <w:rPr>
          <w:rFonts w:cs="Arial"/>
          <w:szCs w:val="18"/>
        </w:rPr>
        <w:t>4</w:t>
      </w:r>
      <w:r w:rsidRPr="00C51315">
        <w:rPr>
          <w:rFonts w:cs="Arial"/>
          <w:szCs w:val="18"/>
        </w:rPr>
        <w:t xml:space="preserve">, čl. 5.2.9 </w:t>
      </w:r>
      <w:r>
        <w:rPr>
          <w:rFonts w:cs="Arial"/>
          <w:szCs w:val="18"/>
        </w:rPr>
        <w:t>musí každý koncový světelný obvod být vybaven doplňkovou ochranou pomocí proudového chrániče (RCD), jehož jmenovitý reziduální proud nepřekračuje 30mA. Tento proudový chránič je určen pouze pro tento obvod. Pro jištění světelných obvodů se nesmí používat RCD typu AC.</w:t>
      </w:r>
    </w:p>
    <w:p w:rsidR="00D215AF" w:rsidRDefault="00D215AF" w:rsidP="00D215AF">
      <w:pPr>
        <w:tabs>
          <w:tab w:val="left" w:pos="3647"/>
        </w:tabs>
        <w:jc w:val="both"/>
        <w:rPr>
          <w:rFonts w:cs="Arial"/>
          <w:szCs w:val="18"/>
        </w:rPr>
      </w:pPr>
      <w:r w:rsidRPr="00DF0754">
        <w:rPr>
          <w:rFonts w:cs="Arial"/>
          <w:szCs w:val="18"/>
        </w:rPr>
        <w:t>Dle ČSN 33 2130 ed.</w:t>
      </w:r>
      <w:r>
        <w:rPr>
          <w:rFonts w:cs="Arial"/>
          <w:szCs w:val="18"/>
        </w:rPr>
        <w:t xml:space="preserve"> 4</w:t>
      </w:r>
      <w:r w:rsidRPr="00DF0754">
        <w:rPr>
          <w:rFonts w:cs="Arial"/>
          <w:szCs w:val="18"/>
        </w:rPr>
        <w:t>, čl. 5.3.</w:t>
      </w:r>
      <w:r>
        <w:rPr>
          <w:rFonts w:cs="Arial"/>
          <w:szCs w:val="18"/>
        </w:rPr>
        <w:t>12</w:t>
      </w:r>
      <w:r w:rsidRPr="00DF0754">
        <w:rPr>
          <w:rFonts w:cs="Arial"/>
          <w:szCs w:val="18"/>
        </w:rPr>
        <w:t xml:space="preserve"> musí mít jednofázové i trojfázové zásuvkové obvody do 32A doplňkovou ochranu tvořenou proudovým chráničem, jehož jmenovitý reziduální proud nepřekračuje 30 mA.</w:t>
      </w:r>
      <w:r>
        <w:rPr>
          <w:rFonts w:cs="Arial"/>
          <w:szCs w:val="18"/>
        </w:rPr>
        <w:t xml:space="preserve"> Tento požadavek platí i pro zásuvky chladniček.</w:t>
      </w:r>
    </w:p>
    <w:p w:rsidR="00D215AF" w:rsidRDefault="00D215AF" w:rsidP="00D215AF">
      <w:pPr>
        <w:tabs>
          <w:tab w:val="left" w:pos="3647"/>
        </w:tabs>
        <w:jc w:val="both"/>
        <w:rPr>
          <w:rFonts w:cs="Arial"/>
          <w:szCs w:val="18"/>
        </w:rPr>
      </w:pPr>
      <w:r w:rsidRPr="00D00811">
        <w:rPr>
          <w:rFonts w:cs="Arial"/>
          <w:szCs w:val="18"/>
        </w:rPr>
        <w:t>S odkazem na ČSN 33 2000-5-53 ed.3 příloha B je nevhodné používat proudové chrániče typu AC.</w:t>
      </w: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p w:rsidR="00FE7DBD" w:rsidRDefault="00FE7DBD" w:rsidP="00025FF7">
      <w:pPr>
        <w:tabs>
          <w:tab w:val="left" w:pos="3647"/>
        </w:tabs>
        <w:rPr>
          <w:rFonts w:cs="Arial"/>
          <w:sz w:val="20"/>
          <w:szCs w:val="20"/>
        </w:rPr>
      </w:pPr>
    </w:p>
    <w:sectPr w:rsidR="00FE7DBD" w:rsidSect="00827B9B">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736" w:rsidRDefault="00B70736" w:rsidP="00323C31">
      <w:pPr>
        <w:spacing w:after="0" w:line="240" w:lineRule="auto"/>
      </w:pPr>
      <w:r>
        <w:separator/>
      </w:r>
    </w:p>
  </w:endnote>
  <w:endnote w:type="continuationSeparator" w:id="0">
    <w:p w:rsidR="00B70736" w:rsidRDefault="00B70736" w:rsidP="00323C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01" w:type="dxa"/>
      <w:tblLayout w:type="fixed"/>
      <w:tblCellMar>
        <w:left w:w="70" w:type="dxa"/>
        <w:right w:w="70" w:type="dxa"/>
      </w:tblCellMar>
      <w:tblLook w:val="0000"/>
    </w:tblPr>
    <w:tblGrid>
      <w:gridCol w:w="6874"/>
      <w:gridCol w:w="2627"/>
    </w:tblGrid>
    <w:tr w:rsidR="004D593A" w:rsidRPr="0043490A" w:rsidTr="00453DA1">
      <w:trPr>
        <w:tblHeader/>
      </w:trPr>
      <w:tc>
        <w:tcPr>
          <w:tcW w:w="6874" w:type="dxa"/>
          <w:tcBorders>
            <w:top w:val="single" w:sz="4" w:space="0" w:color="auto"/>
          </w:tcBorders>
        </w:tcPr>
        <w:p w:rsidR="004D593A" w:rsidRPr="00943AB9" w:rsidRDefault="004D593A" w:rsidP="006A18E7">
          <w:pPr>
            <w:spacing w:after="0"/>
            <w:rPr>
              <w:rFonts w:cs="Arial"/>
              <w:i/>
              <w:sz w:val="16"/>
              <w:szCs w:val="16"/>
            </w:rPr>
          </w:pPr>
          <w:r w:rsidRPr="00943AB9">
            <w:rPr>
              <w:rFonts w:cs="Arial"/>
              <w:i/>
              <w:sz w:val="16"/>
              <w:szCs w:val="16"/>
            </w:rPr>
            <w:t>Ing.Pavel Matura, projekce elektro, IČO:</w:t>
          </w:r>
          <w:r w:rsidRPr="00943AB9">
            <w:rPr>
              <w:rFonts w:cs="Arial"/>
              <w:sz w:val="16"/>
              <w:szCs w:val="16"/>
            </w:rPr>
            <w:t xml:space="preserve"> 06169848</w:t>
          </w:r>
        </w:p>
      </w:tc>
      <w:tc>
        <w:tcPr>
          <w:tcW w:w="2627" w:type="dxa"/>
        </w:tcPr>
        <w:p w:rsidR="004D593A" w:rsidRPr="00943AB9" w:rsidRDefault="004D593A" w:rsidP="006A18E7">
          <w:pPr>
            <w:spacing w:after="0"/>
            <w:jc w:val="right"/>
            <w:rPr>
              <w:rFonts w:cs="Arial"/>
              <w:i/>
              <w:sz w:val="16"/>
            </w:rPr>
          </w:pPr>
          <w:r w:rsidRPr="00943AB9">
            <w:rPr>
              <w:rFonts w:cs="Arial"/>
              <w:i/>
              <w:sz w:val="16"/>
            </w:rPr>
            <w:t xml:space="preserve">Strana </w:t>
          </w:r>
          <w:r w:rsidR="00082892" w:rsidRPr="00943AB9">
            <w:rPr>
              <w:rFonts w:cs="Arial"/>
              <w:i/>
              <w:sz w:val="16"/>
            </w:rPr>
            <w:fldChar w:fldCharType="begin"/>
          </w:r>
          <w:r w:rsidRPr="00943AB9">
            <w:rPr>
              <w:rFonts w:cs="Arial"/>
              <w:i/>
              <w:sz w:val="16"/>
            </w:rPr>
            <w:instrText xml:space="preserve"> PAGE </w:instrText>
          </w:r>
          <w:r w:rsidR="00082892" w:rsidRPr="00943AB9">
            <w:rPr>
              <w:rFonts w:cs="Arial"/>
              <w:i/>
              <w:sz w:val="16"/>
            </w:rPr>
            <w:fldChar w:fldCharType="separate"/>
          </w:r>
          <w:r w:rsidR="00A03AE7">
            <w:rPr>
              <w:rFonts w:cs="Arial"/>
              <w:i/>
              <w:noProof/>
              <w:sz w:val="16"/>
            </w:rPr>
            <w:t>2</w:t>
          </w:r>
          <w:r w:rsidR="00082892" w:rsidRPr="00943AB9">
            <w:rPr>
              <w:rFonts w:cs="Arial"/>
              <w:i/>
              <w:sz w:val="16"/>
            </w:rPr>
            <w:fldChar w:fldCharType="end"/>
          </w:r>
          <w:r w:rsidRPr="00943AB9">
            <w:rPr>
              <w:rFonts w:cs="Arial"/>
              <w:i/>
              <w:sz w:val="16"/>
            </w:rPr>
            <w:t>/</w:t>
          </w:r>
          <w:r w:rsidR="00082892" w:rsidRPr="00943AB9">
            <w:rPr>
              <w:rFonts w:cs="Arial"/>
              <w:i/>
              <w:sz w:val="16"/>
            </w:rPr>
            <w:fldChar w:fldCharType="begin"/>
          </w:r>
          <w:r w:rsidRPr="00943AB9">
            <w:rPr>
              <w:rFonts w:cs="Arial"/>
              <w:i/>
              <w:sz w:val="16"/>
            </w:rPr>
            <w:instrText xml:space="preserve"> NUMPAGES </w:instrText>
          </w:r>
          <w:r w:rsidR="00082892" w:rsidRPr="00943AB9">
            <w:rPr>
              <w:rFonts w:cs="Arial"/>
              <w:i/>
              <w:sz w:val="16"/>
            </w:rPr>
            <w:fldChar w:fldCharType="separate"/>
          </w:r>
          <w:r w:rsidR="00A03AE7">
            <w:rPr>
              <w:rFonts w:cs="Arial"/>
              <w:i/>
              <w:noProof/>
              <w:sz w:val="16"/>
            </w:rPr>
            <w:t>5</w:t>
          </w:r>
          <w:r w:rsidR="00082892" w:rsidRPr="00943AB9">
            <w:rPr>
              <w:rFonts w:cs="Arial"/>
              <w:i/>
              <w:sz w:val="16"/>
            </w:rPr>
            <w:fldChar w:fldCharType="end"/>
          </w:r>
        </w:p>
      </w:tc>
    </w:tr>
    <w:tr w:rsidR="004D593A" w:rsidRPr="0043490A" w:rsidTr="00DA3E13">
      <w:trPr>
        <w:tblHeader/>
      </w:trPr>
      <w:tc>
        <w:tcPr>
          <w:tcW w:w="6874" w:type="dxa"/>
        </w:tcPr>
        <w:p w:rsidR="004D593A" w:rsidRPr="00943AB9" w:rsidRDefault="004D593A" w:rsidP="006A18E7">
          <w:pPr>
            <w:spacing w:after="0"/>
            <w:rPr>
              <w:rFonts w:cs="Arial"/>
            </w:rPr>
          </w:pPr>
          <w:r w:rsidRPr="00943AB9">
            <w:rPr>
              <w:rFonts w:cs="Arial"/>
              <w:sz w:val="16"/>
              <w:szCs w:val="16"/>
            </w:rPr>
            <w:sym w:font="Wingdings" w:char="F028"/>
          </w:r>
          <w:r w:rsidRPr="00943AB9">
            <w:rPr>
              <w:rFonts w:cs="Arial"/>
              <w:i/>
              <w:sz w:val="16"/>
              <w:szCs w:val="16"/>
            </w:rPr>
            <w:t xml:space="preserve"> 608 176 406  </w:t>
          </w:r>
          <w:r w:rsidRPr="00943AB9">
            <w:rPr>
              <w:rFonts w:cs="Arial"/>
              <w:sz w:val="16"/>
              <w:szCs w:val="16"/>
            </w:rPr>
            <w:sym w:font="Wingdings" w:char="F02A"/>
          </w:r>
          <w:r w:rsidRPr="00943AB9">
            <w:rPr>
              <w:rFonts w:cs="Arial"/>
              <w:i/>
              <w:sz w:val="16"/>
              <w:szCs w:val="16"/>
            </w:rPr>
            <w:t xml:space="preserve"> projekce.matura@seznam.cz</w:t>
          </w:r>
        </w:p>
      </w:tc>
      <w:tc>
        <w:tcPr>
          <w:tcW w:w="2627" w:type="dxa"/>
        </w:tcPr>
        <w:p w:rsidR="004D593A" w:rsidRPr="00943AB9" w:rsidRDefault="004D593A" w:rsidP="00DA3E13">
          <w:pPr>
            <w:jc w:val="right"/>
            <w:rPr>
              <w:rFonts w:cs="Arial"/>
              <w:i/>
              <w:sz w:val="16"/>
            </w:rPr>
          </w:pPr>
        </w:p>
      </w:tc>
    </w:tr>
  </w:tbl>
  <w:p w:rsidR="004D593A" w:rsidRDefault="004D593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736" w:rsidRDefault="00B70736" w:rsidP="00323C31">
      <w:pPr>
        <w:spacing w:after="0" w:line="240" w:lineRule="auto"/>
      </w:pPr>
      <w:r>
        <w:separator/>
      </w:r>
    </w:p>
  </w:footnote>
  <w:footnote w:type="continuationSeparator" w:id="0">
    <w:p w:rsidR="00B70736" w:rsidRDefault="00B70736" w:rsidP="00323C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57" w:type="dxa"/>
      <w:tblInd w:w="40" w:type="dxa"/>
      <w:tblLayout w:type="fixed"/>
      <w:tblCellMar>
        <w:left w:w="70" w:type="dxa"/>
        <w:right w:w="70" w:type="dxa"/>
      </w:tblCellMar>
      <w:tblLook w:val="0000"/>
    </w:tblPr>
    <w:tblGrid>
      <w:gridCol w:w="866"/>
      <w:gridCol w:w="5348"/>
      <w:gridCol w:w="1041"/>
      <w:gridCol w:w="2602"/>
    </w:tblGrid>
    <w:tr w:rsidR="004D593A" w:rsidRPr="00EF3ADD" w:rsidTr="00A103E1">
      <w:trPr>
        <w:trHeight w:val="218"/>
      </w:trPr>
      <w:tc>
        <w:tcPr>
          <w:tcW w:w="866"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4"/>
              <w:szCs w:val="14"/>
            </w:rPr>
          </w:pPr>
        </w:p>
      </w:tc>
      <w:tc>
        <w:tcPr>
          <w:tcW w:w="5348" w:type="dxa"/>
          <w:tcBorders>
            <w:top w:val="nil"/>
            <w:left w:val="nil"/>
            <w:bottom w:val="nil"/>
            <w:right w:val="nil"/>
          </w:tcBorders>
        </w:tcPr>
        <w:p w:rsidR="004D593A" w:rsidRDefault="004D593A" w:rsidP="00A103E1">
          <w:pPr>
            <w:autoSpaceDE w:val="0"/>
            <w:autoSpaceDN w:val="0"/>
            <w:adjustRightInd w:val="0"/>
            <w:spacing w:after="0" w:line="240" w:lineRule="auto"/>
            <w:rPr>
              <w:rFonts w:cs="Arial"/>
              <w:i/>
              <w:iCs/>
              <w:color w:val="0000FF"/>
              <w:sz w:val="16"/>
              <w:szCs w:val="16"/>
            </w:rPr>
          </w:pPr>
        </w:p>
      </w:tc>
      <w:tc>
        <w:tcPr>
          <w:tcW w:w="1041"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2602"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r>
    <w:tr w:rsidR="004D593A" w:rsidRPr="00EF3ADD" w:rsidTr="00A103E1">
      <w:trPr>
        <w:trHeight w:val="218"/>
      </w:trPr>
      <w:tc>
        <w:tcPr>
          <w:tcW w:w="866"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5348" w:type="dxa"/>
          <w:tcBorders>
            <w:top w:val="nil"/>
            <w:left w:val="nil"/>
            <w:bottom w:val="nil"/>
            <w:right w:val="nil"/>
          </w:tcBorders>
        </w:tcPr>
        <w:p w:rsidR="004D593A" w:rsidRDefault="004D593A" w:rsidP="00A103E1">
          <w:pPr>
            <w:autoSpaceDE w:val="0"/>
            <w:autoSpaceDN w:val="0"/>
            <w:adjustRightInd w:val="0"/>
            <w:spacing w:after="0" w:line="240" w:lineRule="auto"/>
            <w:rPr>
              <w:rFonts w:cs="Arial"/>
              <w:i/>
              <w:iCs/>
              <w:color w:val="0000FF"/>
              <w:sz w:val="16"/>
              <w:szCs w:val="16"/>
            </w:rPr>
          </w:pPr>
        </w:p>
      </w:tc>
      <w:tc>
        <w:tcPr>
          <w:tcW w:w="1041"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2602"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r>
    <w:tr w:rsidR="004D593A" w:rsidRPr="00EF3ADD" w:rsidTr="00A103E1">
      <w:trPr>
        <w:trHeight w:val="218"/>
      </w:trPr>
      <w:tc>
        <w:tcPr>
          <w:tcW w:w="866"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5348"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1041"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c>
        <w:tcPr>
          <w:tcW w:w="2602" w:type="dxa"/>
          <w:tcBorders>
            <w:top w:val="nil"/>
            <w:left w:val="nil"/>
            <w:bottom w:val="nil"/>
            <w:right w:val="nil"/>
          </w:tcBorders>
        </w:tcPr>
        <w:p w:rsidR="004D593A" w:rsidRPr="00EF3ADD" w:rsidRDefault="004D593A" w:rsidP="00A103E1">
          <w:pPr>
            <w:autoSpaceDE w:val="0"/>
            <w:autoSpaceDN w:val="0"/>
            <w:adjustRightInd w:val="0"/>
            <w:spacing w:after="0" w:line="240" w:lineRule="auto"/>
            <w:rPr>
              <w:rFonts w:cs="Arial"/>
              <w:i/>
              <w:iCs/>
              <w:color w:val="auto"/>
              <w:sz w:val="16"/>
              <w:szCs w:val="16"/>
            </w:rPr>
          </w:pPr>
        </w:p>
      </w:tc>
    </w:tr>
  </w:tbl>
  <w:p w:rsidR="004D593A" w:rsidRPr="00103BC8" w:rsidRDefault="004D593A" w:rsidP="00103BC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D46D9"/>
    <w:multiLevelType w:val="hybridMultilevel"/>
    <w:tmpl w:val="4FBC7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DBF6C23"/>
    <w:multiLevelType w:val="multilevel"/>
    <w:tmpl w:val="03A6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142600"/>
    <w:multiLevelType w:val="hybridMultilevel"/>
    <w:tmpl w:val="2E18BC4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3B01F54"/>
    <w:multiLevelType w:val="hybridMultilevel"/>
    <w:tmpl w:val="00B80F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F61334A"/>
    <w:multiLevelType w:val="hybridMultilevel"/>
    <w:tmpl w:val="BCAA3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4C94482"/>
    <w:multiLevelType w:val="hybridMultilevel"/>
    <w:tmpl w:val="FBF6C4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5F07CF7"/>
    <w:multiLevelType w:val="hybridMultilevel"/>
    <w:tmpl w:val="FA1E09C0"/>
    <w:lvl w:ilvl="0" w:tplc="04050001">
      <w:start w:val="1"/>
      <w:numFmt w:val="bullet"/>
      <w:lvlText w:val=""/>
      <w:lvlJc w:val="left"/>
      <w:pPr>
        <w:ind w:left="763" w:hanging="360"/>
      </w:pPr>
      <w:rPr>
        <w:rFonts w:ascii="Symbol" w:hAnsi="Symbol" w:hint="default"/>
      </w:rPr>
    </w:lvl>
    <w:lvl w:ilvl="1" w:tplc="04050003" w:tentative="1">
      <w:start w:val="1"/>
      <w:numFmt w:val="bullet"/>
      <w:lvlText w:val="o"/>
      <w:lvlJc w:val="left"/>
      <w:pPr>
        <w:ind w:left="1483" w:hanging="360"/>
      </w:pPr>
      <w:rPr>
        <w:rFonts w:ascii="Courier New" w:hAnsi="Courier New" w:cs="Courier New" w:hint="default"/>
      </w:rPr>
    </w:lvl>
    <w:lvl w:ilvl="2" w:tplc="04050005" w:tentative="1">
      <w:start w:val="1"/>
      <w:numFmt w:val="bullet"/>
      <w:lvlText w:val=""/>
      <w:lvlJc w:val="left"/>
      <w:pPr>
        <w:ind w:left="2203" w:hanging="360"/>
      </w:pPr>
      <w:rPr>
        <w:rFonts w:ascii="Wingdings" w:hAnsi="Wingdings" w:hint="default"/>
      </w:rPr>
    </w:lvl>
    <w:lvl w:ilvl="3" w:tplc="04050001" w:tentative="1">
      <w:start w:val="1"/>
      <w:numFmt w:val="bullet"/>
      <w:lvlText w:val=""/>
      <w:lvlJc w:val="left"/>
      <w:pPr>
        <w:ind w:left="2923" w:hanging="360"/>
      </w:pPr>
      <w:rPr>
        <w:rFonts w:ascii="Symbol" w:hAnsi="Symbol" w:hint="default"/>
      </w:rPr>
    </w:lvl>
    <w:lvl w:ilvl="4" w:tplc="04050003" w:tentative="1">
      <w:start w:val="1"/>
      <w:numFmt w:val="bullet"/>
      <w:lvlText w:val="o"/>
      <w:lvlJc w:val="left"/>
      <w:pPr>
        <w:ind w:left="3643" w:hanging="360"/>
      </w:pPr>
      <w:rPr>
        <w:rFonts w:ascii="Courier New" w:hAnsi="Courier New" w:cs="Courier New" w:hint="default"/>
      </w:rPr>
    </w:lvl>
    <w:lvl w:ilvl="5" w:tplc="04050005" w:tentative="1">
      <w:start w:val="1"/>
      <w:numFmt w:val="bullet"/>
      <w:lvlText w:val=""/>
      <w:lvlJc w:val="left"/>
      <w:pPr>
        <w:ind w:left="4363" w:hanging="360"/>
      </w:pPr>
      <w:rPr>
        <w:rFonts w:ascii="Wingdings" w:hAnsi="Wingdings" w:hint="default"/>
      </w:rPr>
    </w:lvl>
    <w:lvl w:ilvl="6" w:tplc="04050001" w:tentative="1">
      <w:start w:val="1"/>
      <w:numFmt w:val="bullet"/>
      <w:lvlText w:val=""/>
      <w:lvlJc w:val="left"/>
      <w:pPr>
        <w:ind w:left="5083" w:hanging="360"/>
      </w:pPr>
      <w:rPr>
        <w:rFonts w:ascii="Symbol" w:hAnsi="Symbol" w:hint="default"/>
      </w:rPr>
    </w:lvl>
    <w:lvl w:ilvl="7" w:tplc="04050003" w:tentative="1">
      <w:start w:val="1"/>
      <w:numFmt w:val="bullet"/>
      <w:lvlText w:val="o"/>
      <w:lvlJc w:val="left"/>
      <w:pPr>
        <w:ind w:left="5803" w:hanging="360"/>
      </w:pPr>
      <w:rPr>
        <w:rFonts w:ascii="Courier New" w:hAnsi="Courier New" w:cs="Courier New" w:hint="default"/>
      </w:rPr>
    </w:lvl>
    <w:lvl w:ilvl="8" w:tplc="04050005" w:tentative="1">
      <w:start w:val="1"/>
      <w:numFmt w:val="bullet"/>
      <w:lvlText w:val=""/>
      <w:lvlJc w:val="left"/>
      <w:pPr>
        <w:ind w:left="6523" w:hanging="360"/>
      </w:pPr>
      <w:rPr>
        <w:rFonts w:ascii="Wingdings" w:hAnsi="Wingdings" w:hint="default"/>
      </w:rPr>
    </w:lvl>
  </w:abstractNum>
  <w:abstractNum w:abstractNumId="7">
    <w:nsid w:val="6B05609A"/>
    <w:multiLevelType w:val="hybridMultilevel"/>
    <w:tmpl w:val="835289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0927253"/>
    <w:multiLevelType w:val="hybridMultilevel"/>
    <w:tmpl w:val="44E43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5202CA0"/>
    <w:multiLevelType w:val="hybridMultilevel"/>
    <w:tmpl w:val="2D0EB93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02405F"/>
    <w:multiLevelType w:val="hybridMultilevel"/>
    <w:tmpl w:val="6DB66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3"/>
  </w:num>
  <w:num w:numId="5">
    <w:abstractNumId w:val="10"/>
  </w:num>
  <w:num w:numId="6">
    <w:abstractNumId w:val="5"/>
  </w:num>
  <w:num w:numId="7">
    <w:abstractNumId w:val="9"/>
  </w:num>
  <w:num w:numId="8">
    <w:abstractNumId w:val="4"/>
  </w:num>
  <w:num w:numId="9">
    <w:abstractNumId w:val="7"/>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111618"/>
  </w:hdrShapeDefaults>
  <w:footnotePr>
    <w:footnote w:id="-1"/>
    <w:footnote w:id="0"/>
  </w:footnotePr>
  <w:endnotePr>
    <w:endnote w:id="-1"/>
    <w:endnote w:id="0"/>
  </w:endnotePr>
  <w:compat/>
  <w:rsids>
    <w:rsidRoot w:val="008A5774"/>
    <w:rsid w:val="00005A5D"/>
    <w:rsid w:val="0001175B"/>
    <w:rsid w:val="00012D75"/>
    <w:rsid w:val="0001310D"/>
    <w:rsid w:val="00020759"/>
    <w:rsid w:val="00022D9B"/>
    <w:rsid w:val="00023866"/>
    <w:rsid w:val="00025FF7"/>
    <w:rsid w:val="00026408"/>
    <w:rsid w:val="0003420B"/>
    <w:rsid w:val="000356A1"/>
    <w:rsid w:val="00037A94"/>
    <w:rsid w:val="000405F5"/>
    <w:rsid w:val="0004067F"/>
    <w:rsid w:val="00043059"/>
    <w:rsid w:val="00046589"/>
    <w:rsid w:val="000503B0"/>
    <w:rsid w:val="000555D6"/>
    <w:rsid w:val="0006461A"/>
    <w:rsid w:val="00070C1A"/>
    <w:rsid w:val="00073FF2"/>
    <w:rsid w:val="000748FA"/>
    <w:rsid w:val="00077ADC"/>
    <w:rsid w:val="00082892"/>
    <w:rsid w:val="00093929"/>
    <w:rsid w:val="00094FC2"/>
    <w:rsid w:val="0009524E"/>
    <w:rsid w:val="000962DD"/>
    <w:rsid w:val="000A0ED9"/>
    <w:rsid w:val="000A3B43"/>
    <w:rsid w:val="000A4CBB"/>
    <w:rsid w:val="000A619E"/>
    <w:rsid w:val="000B2AE5"/>
    <w:rsid w:val="000B5664"/>
    <w:rsid w:val="000B7E7C"/>
    <w:rsid w:val="000C0C28"/>
    <w:rsid w:val="000C2564"/>
    <w:rsid w:val="000C50EE"/>
    <w:rsid w:val="000C5E4B"/>
    <w:rsid w:val="000D16D7"/>
    <w:rsid w:val="000D2C90"/>
    <w:rsid w:val="000D77A4"/>
    <w:rsid w:val="000E3B83"/>
    <w:rsid w:val="000E49BE"/>
    <w:rsid w:val="000E568D"/>
    <w:rsid w:val="000E5AB5"/>
    <w:rsid w:val="000F18A7"/>
    <w:rsid w:val="00101A66"/>
    <w:rsid w:val="00101F34"/>
    <w:rsid w:val="00102474"/>
    <w:rsid w:val="0010323E"/>
    <w:rsid w:val="001035FB"/>
    <w:rsid w:val="00103BC8"/>
    <w:rsid w:val="00104BF7"/>
    <w:rsid w:val="00111691"/>
    <w:rsid w:val="00113564"/>
    <w:rsid w:val="00115F40"/>
    <w:rsid w:val="0013267D"/>
    <w:rsid w:val="00136284"/>
    <w:rsid w:val="00136376"/>
    <w:rsid w:val="00136EEC"/>
    <w:rsid w:val="00137BD3"/>
    <w:rsid w:val="00146892"/>
    <w:rsid w:val="00150253"/>
    <w:rsid w:val="001530A4"/>
    <w:rsid w:val="00154294"/>
    <w:rsid w:val="001545A4"/>
    <w:rsid w:val="00161C45"/>
    <w:rsid w:val="00173916"/>
    <w:rsid w:val="00174FC1"/>
    <w:rsid w:val="00180E8C"/>
    <w:rsid w:val="00182087"/>
    <w:rsid w:val="001923DE"/>
    <w:rsid w:val="00196404"/>
    <w:rsid w:val="001A4788"/>
    <w:rsid w:val="001A5126"/>
    <w:rsid w:val="001B6862"/>
    <w:rsid w:val="001C24B0"/>
    <w:rsid w:val="001C375F"/>
    <w:rsid w:val="001C41E7"/>
    <w:rsid w:val="001D0264"/>
    <w:rsid w:val="001D5FE9"/>
    <w:rsid w:val="001D72E9"/>
    <w:rsid w:val="001E1317"/>
    <w:rsid w:val="001F6191"/>
    <w:rsid w:val="00200ADC"/>
    <w:rsid w:val="00203515"/>
    <w:rsid w:val="00203EBA"/>
    <w:rsid w:val="00215FBD"/>
    <w:rsid w:val="002172CD"/>
    <w:rsid w:val="002215FB"/>
    <w:rsid w:val="00221E56"/>
    <w:rsid w:val="00225657"/>
    <w:rsid w:val="002318EE"/>
    <w:rsid w:val="0023532B"/>
    <w:rsid w:val="00240915"/>
    <w:rsid w:val="00244FFF"/>
    <w:rsid w:val="00247999"/>
    <w:rsid w:val="00247A98"/>
    <w:rsid w:val="00272D6D"/>
    <w:rsid w:val="0027458B"/>
    <w:rsid w:val="0027763C"/>
    <w:rsid w:val="00277C7F"/>
    <w:rsid w:val="002874AB"/>
    <w:rsid w:val="00292626"/>
    <w:rsid w:val="00293D9F"/>
    <w:rsid w:val="0029676F"/>
    <w:rsid w:val="002A7CA6"/>
    <w:rsid w:val="002B4D1C"/>
    <w:rsid w:val="002B6DFA"/>
    <w:rsid w:val="002B74AD"/>
    <w:rsid w:val="002C214A"/>
    <w:rsid w:val="002C5646"/>
    <w:rsid w:val="002D412C"/>
    <w:rsid w:val="002D45D1"/>
    <w:rsid w:val="002D5EFB"/>
    <w:rsid w:val="002D71C2"/>
    <w:rsid w:val="002F3061"/>
    <w:rsid w:val="00303C87"/>
    <w:rsid w:val="00314E65"/>
    <w:rsid w:val="00315AD9"/>
    <w:rsid w:val="00317358"/>
    <w:rsid w:val="00323C31"/>
    <w:rsid w:val="00324A19"/>
    <w:rsid w:val="003301EF"/>
    <w:rsid w:val="003340EF"/>
    <w:rsid w:val="00334D63"/>
    <w:rsid w:val="00335338"/>
    <w:rsid w:val="00337C36"/>
    <w:rsid w:val="00340270"/>
    <w:rsid w:val="00340A42"/>
    <w:rsid w:val="00340C8A"/>
    <w:rsid w:val="00341025"/>
    <w:rsid w:val="00345C63"/>
    <w:rsid w:val="00346BFC"/>
    <w:rsid w:val="00354170"/>
    <w:rsid w:val="0035548F"/>
    <w:rsid w:val="003624C3"/>
    <w:rsid w:val="00362843"/>
    <w:rsid w:val="00372A91"/>
    <w:rsid w:val="0037751F"/>
    <w:rsid w:val="00397CC0"/>
    <w:rsid w:val="003A106D"/>
    <w:rsid w:val="003A1882"/>
    <w:rsid w:val="003A252C"/>
    <w:rsid w:val="003C08B9"/>
    <w:rsid w:val="003C0C04"/>
    <w:rsid w:val="003C28DC"/>
    <w:rsid w:val="003C5139"/>
    <w:rsid w:val="003D254B"/>
    <w:rsid w:val="003D3C4C"/>
    <w:rsid w:val="003E2959"/>
    <w:rsid w:val="003E31A9"/>
    <w:rsid w:val="003F0196"/>
    <w:rsid w:val="003F0590"/>
    <w:rsid w:val="0040342C"/>
    <w:rsid w:val="00407730"/>
    <w:rsid w:val="0041266A"/>
    <w:rsid w:val="00427726"/>
    <w:rsid w:val="00433D82"/>
    <w:rsid w:val="00435387"/>
    <w:rsid w:val="0044108C"/>
    <w:rsid w:val="004460E0"/>
    <w:rsid w:val="004471CB"/>
    <w:rsid w:val="0045042E"/>
    <w:rsid w:val="0045160F"/>
    <w:rsid w:val="00453DA1"/>
    <w:rsid w:val="00454FF6"/>
    <w:rsid w:val="004578BE"/>
    <w:rsid w:val="00463BB5"/>
    <w:rsid w:val="00465044"/>
    <w:rsid w:val="00465199"/>
    <w:rsid w:val="0046647C"/>
    <w:rsid w:val="004718D1"/>
    <w:rsid w:val="00472423"/>
    <w:rsid w:val="00476FCE"/>
    <w:rsid w:val="0048158E"/>
    <w:rsid w:val="0048181E"/>
    <w:rsid w:val="00487C84"/>
    <w:rsid w:val="0049113D"/>
    <w:rsid w:val="00492423"/>
    <w:rsid w:val="004960A4"/>
    <w:rsid w:val="004A02F7"/>
    <w:rsid w:val="004A3466"/>
    <w:rsid w:val="004A4FC2"/>
    <w:rsid w:val="004A6DE0"/>
    <w:rsid w:val="004B689A"/>
    <w:rsid w:val="004C03BD"/>
    <w:rsid w:val="004C61AA"/>
    <w:rsid w:val="004D0D57"/>
    <w:rsid w:val="004D341A"/>
    <w:rsid w:val="004D513F"/>
    <w:rsid w:val="004D593A"/>
    <w:rsid w:val="004E065E"/>
    <w:rsid w:val="004E7EE7"/>
    <w:rsid w:val="004F2462"/>
    <w:rsid w:val="004F59C4"/>
    <w:rsid w:val="005027B5"/>
    <w:rsid w:val="00506A15"/>
    <w:rsid w:val="00510FD4"/>
    <w:rsid w:val="005157DC"/>
    <w:rsid w:val="00526F02"/>
    <w:rsid w:val="005305EA"/>
    <w:rsid w:val="00530889"/>
    <w:rsid w:val="005730DA"/>
    <w:rsid w:val="00573255"/>
    <w:rsid w:val="00575482"/>
    <w:rsid w:val="00580F39"/>
    <w:rsid w:val="0058362B"/>
    <w:rsid w:val="00586B6D"/>
    <w:rsid w:val="00595402"/>
    <w:rsid w:val="005972CF"/>
    <w:rsid w:val="005A3F8C"/>
    <w:rsid w:val="005A75C3"/>
    <w:rsid w:val="005B7175"/>
    <w:rsid w:val="005C57E1"/>
    <w:rsid w:val="005C7C11"/>
    <w:rsid w:val="005D3A53"/>
    <w:rsid w:val="005D4314"/>
    <w:rsid w:val="005D728A"/>
    <w:rsid w:val="005E02B6"/>
    <w:rsid w:val="005E0AFF"/>
    <w:rsid w:val="005E3116"/>
    <w:rsid w:val="005E456F"/>
    <w:rsid w:val="005F3A93"/>
    <w:rsid w:val="00601358"/>
    <w:rsid w:val="0060234C"/>
    <w:rsid w:val="00602438"/>
    <w:rsid w:val="0060461B"/>
    <w:rsid w:val="006056FD"/>
    <w:rsid w:val="00607FB1"/>
    <w:rsid w:val="00611B29"/>
    <w:rsid w:val="00616F0B"/>
    <w:rsid w:val="00636FEF"/>
    <w:rsid w:val="00645780"/>
    <w:rsid w:val="00646C90"/>
    <w:rsid w:val="00652F59"/>
    <w:rsid w:val="0065798A"/>
    <w:rsid w:val="00663B6F"/>
    <w:rsid w:val="00666560"/>
    <w:rsid w:val="00666AEE"/>
    <w:rsid w:val="006724E3"/>
    <w:rsid w:val="00675EE3"/>
    <w:rsid w:val="00681657"/>
    <w:rsid w:val="00682A8C"/>
    <w:rsid w:val="006905DF"/>
    <w:rsid w:val="006916A7"/>
    <w:rsid w:val="00691C60"/>
    <w:rsid w:val="006941E1"/>
    <w:rsid w:val="00696B1A"/>
    <w:rsid w:val="00697269"/>
    <w:rsid w:val="006A18E7"/>
    <w:rsid w:val="006A2FE8"/>
    <w:rsid w:val="006A353F"/>
    <w:rsid w:val="006A3E36"/>
    <w:rsid w:val="006C1974"/>
    <w:rsid w:val="006D0F3F"/>
    <w:rsid w:val="006D432B"/>
    <w:rsid w:val="006D48D6"/>
    <w:rsid w:val="006D54EB"/>
    <w:rsid w:val="006E0921"/>
    <w:rsid w:val="006E205A"/>
    <w:rsid w:val="006E20CE"/>
    <w:rsid w:val="006E6489"/>
    <w:rsid w:val="006F1F5F"/>
    <w:rsid w:val="006F68FC"/>
    <w:rsid w:val="007001B5"/>
    <w:rsid w:val="00700B50"/>
    <w:rsid w:val="00710ABF"/>
    <w:rsid w:val="00711410"/>
    <w:rsid w:val="0071150C"/>
    <w:rsid w:val="007125E7"/>
    <w:rsid w:val="007139B9"/>
    <w:rsid w:val="0071401F"/>
    <w:rsid w:val="00720E46"/>
    <w:rsid w:val="00723E24"/>
    <w:rsid w:val="00723F93"/>
    <w:rsid w:val="00727F86"/>
    <w:rsid w:val="00730B67"/>
    <w:rsid w:val="00734329"/>
    <w:rsid w:val="007407BE"/>
    <w:rsid w:val="00742A99"/>
    <w:rsid w:val="007455E0"/>
    <w:rsid w:val="007510EC"/>
    <w:rsid w:val="00761DD1"/>
    <w:rsid w:val="00762B36"/>
    <w:rsid w:val="00765C4B"/>
    <w:rsid w:val="00772F7A"/>
    <w:rsid w:val="00773E54"/>
    <w:rsid w:val="00775F6D"/>
    <w:rsid w:val="0077663B"/>
    <w:rsid w:val="00776F3E"/>
    <w:rsid w:val="007775DB"/>
    <w:rsid w:val="0078218F"/>
    <w:rsid w:val="007835D0"/>
    <w:rsid w:val="007931A3"/>
    <w:rsid w:val="00797C5A"/>
    <w:rsid w:val="007A3D11"/>
    <w:rsid w:val="007A4A4E"/>
    <w:rsid w:val="007A5B03"/>
    <w:rsid w:val="007B0FCE"/>
    <w:rsid w:val="007B273D"/>
    <w:rsid w:val="007B3B08"/>
    <w:rsid w:val="007B60E3"/>
    <w:rsid w:val="007B6500"/>
    <w:rsid w:val="007B6E29"/>
    <w:rsid w:val="007C02D0"/>
    <w:rsid w:val="007C0838"/>
    <w:rsid w:val="007C0E6D"/>
    <w:rsid w:val="007C220C"/>
    <w:rsid w:val="007C3436"/>
    <w:rsid w:val="007C48A6"/>
    <w:rsid w:val="007C74C0"/>
    <w:rsid w:val="007D0B09"/>
    <w:rsid w:val="007D1289"/>
    <w:rsid w:val="007D59C2"/>
    <w:rsid w:val="007D68E3"/>
    <w:rsid w:val="007D6BB7"/>
    <w:rsid w:val="007D6DC3"/>
    <w:rsid w:val="007E3B32"/>
    <w:rsid w:val="007E4D46"/>
    <w:rsid w:val="007F27BB"/>
    <w:rsid w:val="007F42BC"/>
    <w:rsid w:val="00801606"/>
    <w:rsid w:val="008113C3"/>
    <w:rsid w:val="00814991"/>
    <w:rsid w:val="00815021"/>
    <w:rsid w:val="0081627B"/>
    <w:rsid w:val="0082317E"/>
    <w:rsid w:val="0082355C"/>
    <w:rsid w:val="0082724D"/>
    <w:rsid w:val="008274F4"/>
    <w:rsid w:val="00827B9B"/>
    <w:rsid w:val="008318B1"/>
    <w:rsid w:val="00831BC7"/>
    <w:rsid w:val="00832C1B"/>
    <w:rsid w:val="00834A9F"/>
    <w:rsid w:val="00835170"/>
    <w:rsid w:val="00842E23"/>
    <w:rsid w:val="00854E2E"/>
    <w:rsid w:val="008608A2"/>
    <w:rsid w:val="008616CB"/>
    <w:rsid w:val="00862178"/>
    <w:rsid w:val="008624AD"/>
    <w:rsid w:val="008633F2"/>
    <w:rsid w:val="008637A3"/>
    <w:rsid w:val="00865DC4"/>
    <w:rsid w:val="00875D39"/>
    <w:rsid w:val="00876E5A"/>
    <w:rsid w:val="00880312"/>
    <w:rsid w:val="00881E9E"/>
    <w:rsid w:val="00892A4B"/>
    <w:rsid w:val="008A0319"/>
    <w:rsid w:val="008A0E40"/>
    <w:rsid w:val="008A4025"/>
    <w:rsid w:val="008A5774"/>
    <w:rsid w:val="008B51B5"/>
    <w:rsid w:val="008B5BD8"/>
    <w:rsid w:val="008C0263"/>
    <w:rsid w:val="008C2C72"/>
    <w:rsid w:val="008C6024"/>
    <w:rsid w:val="008C6A7D"/>
    <w:rsid w:val="008D3526"/>
    <w:rsid w:val="008E251C"/>
    <w:rsid w:val="008E52B5"/>
    <w:rsid w:val="008F13E4"/>
    <w:rsid w:val="008F7E4D"/>
    <w:rsid w:val="009025B8"/>
    <w:rsid w:val="00904D35"/>
    <w:rsid w:val="00904DD4"/>
    <w:rsid w:val="00907A13"/>
    <w:rsid w:val="00914738"/>
    <w:rsid w:val="00914925"/>
    <w:rsid w:val="009258D0"/>
    <w:rsid w:val="00926DD4"/>
    <w:rsid w:val="0093242F"/>
    <w:rsid w:val="0093426B"/>
    <w:rsid w:val="00934464"/>
    <w:rsid w:val="009376DB"/>
    <w:rsid w:val="00942755"/>
    <w:rsid w:val="00943216"/>
    <w:rsid w:val="00943AB9"/>
    <w:rsid w:val="00953597"/>
    <w:rsid w:val="0096020A"/>
    <w:rsid w:val="0096176C"/>
    <w:rsid w:val="009650E2"/>
    <w:rsid w:val="0096676A"/>
    <w:rsid w:val="009667A9"/>
    <w:rsid w:val="009677A9"/>
    <w:rsid w:val="00974CF2"/>
    <w:rsid w:val="009759B8"/>
    <w:rsid w:val="00985BB9"/>
    <w:rsid w:val="009876AC"/>
    <w:rsid w:val="00987C16"/>
    <w:rsid w:val="00991281"/>
    <w:rsid w:val="00992467"/>
    <w:rsid w:val="0099632B"/>
    <w:rsid w:val="009A0A17"/>
    <w:rsid w:val="009A3319"/>
    <w:rsid w:val="009A3B43"/>
    <w:rsid w:val="009A7A85"/>
    <w:rsid w:val="009B24C2"/>
    <w:rsid w:val="009B3D25"/>
    <w:rsid w:val="009B49DC"/>
    <w:rsid w:val="009B6170"/>
    <w:rsid w:val="009C1412"/>
    <w:rsid w:val="009C532D"/>
    <w:rsid w:val="009C5E1C"/>
    <w:rsid w:val="009C69C1"/>
    <w:rsid w:val="009C78AC"/>
    <w:rsid w:val="009D4A84"/>
    <w:rsid w:val="009D4EDD"/>
    <w:rsid w:val="009F14A0"/>
    <w:rsid w:val="009F28C6"/>
    <w:rsid w:val="009F3C9B"/>
    <w:rsid w:val="009F7AE5"/>
    <w:rsid w:val="00A00B41"/>
    <w:rsid w:val="00A03AE7"/>
    <w:rsid w:val="00A061D5"/>
    <w:rsid w:val="00A103E1"/>
    <w:rsid w:val="00A1454E"/>
    <w:rsid w:val="00A155D1"/>
    <w:rsid w:val="00A16DD0"/>
    <w:rsid w:val="00A21480"/>
    <w:rsid w:val="00A2394D"/>
    <w:rsid w:val="00A24D07"/>
    <w:rsid w:val="00A3136F"/>
    <w:rsid w:val="00A31B86"/>
    <w:rsid w:val="00A31C2A"/>
    <w:rsid w:val="00A34F90"/>
    <w:rsid w:val="00A353F7"/>
    <w:rsid w:val="00A36CE0"/>
    <w:rsid w:val="00A434A1"/>
    <w:rsid w:val="00A45142"/>
    <w:rsid w:val="00A4571B"/>
    <w:rsid w:val="00A517F1"/>
    <w:rsid w:val="00A51AB2"/>
    <w:rsid w:val="00A52D85"/>
    <w:rsid w:val="00A54B72"/>
    <w:rsid w:val="00A55C8A"/>
    <w:rsid w:val="00A55F97"/>
    <w:rsid w:val="00A576BE"/>
    <w:rsid w:val="00A631E6"/>
    <w:rsid w:val="00A65725"/>
    <w:rsid w:val="00A75546"/>
    <w:rsid w:val="00A77167"/>
    <w:rsid w:val="00A77402"/>
    <w:rsid w:val="00A8066B"/>
    <w:rsid w:val="00A80A5C"/>
    <w:rsid w:val="00A82676"/>
    <w:rsid w:val="00A85425"/>
    <w:rsid w:val="00A861B4"/>
    <w:rsid w:val="00A90CB5"/>
    <w:rsid w:val="00A90E5A"/>
    <w:rsid w:val="00A924EA"/>
    <w:rsid w:val="00A942C8"/>
    <w:rsid w:val="00A96BC3"/>
    <w:rsid w:val="00AA0ABC"/>
    <w:rsid w:val="00AA7776"/>
    <w:rsid w:val="00AB0E3C"/>
    <w:rsid w:val="00AB2926"/>
    <w:rsid w:val="00AB4268"/>
    <w:rsid w:val="00AB434F"/>
    <w:rsid w:val="00AB4A90"/>
    <w:rsid w:val="00AC7C74"/>
    <w:rsid w:val="00AD0946"/>
    <w:rsid w:val="00AD1D25"/>
    <w:rsid w:val="00AD3285"/>
    <w:rsid w:val="00AD5008"/>
    <w:rsid w:val="00AE0A4E"/>
    <w:rsid w:val="00AF410E"/>
    <w:rsid w:val="00AF577F"/>
    <w:rsid w:val="00B06F87"/>
    <w:rsid w:val="00B075C1"/>
    <w:rsid w:val="00B07FBF"/>
    <w:rsid w:val="00B10F68"/>
    <w:rsid w:val="00B17788"/>
    <w:rsid w:val="00B2274C"/>
    <w:rsid w:val="00B35046"/>
    <w:rsid w:val="00B37EB0"/>
    <w:rsid w:val="00B43178"/>
    <w:rsid w:val="00B43971"/>
    <w:rsid w:val="00B45BB4"/>
    <w:rsid w:val="00B46EAD"/>
    <w:rsid w:val="00B503FF"/>
    <w:rsid w:val="00B50CF4"/>
    <w:rsid w:val="00B54EA8"/>
    <w:rsid w:val="00B56752"/>
    <w:rsid w:val="00B57CA9"/>
    <w:rsid w:val="00B609D4"/>
    <w:rsid w:val="00B62A9C"/>
    <w:rsid w:val="00B6391B"/>
    <w:rsid w:val="00B65C60"/>
    <w:rsid w:val="00B70736"/>
    <w:rsid w:val="00B70A6B"/>
    <w:rsid w:val="00B835BA"/>
    <w:rsid w:val="00B83C92"/>
    <w:rsid w:val="00B86B0F"/>
    <w:rsid w:val="00B872C5"/>
    <w:rsid w:val="00B90EA4"/>
    <w:rsid w:val="00B935DA"/>
    <w:rsid w:val="00BA0B94"/>
    <w:rsid w:val="00BA34C3"/>
    <w:rsid w:val="00BA6162"/>
    <w:rsid w:val="00BB329E"/>
    <w:rsid w:val="00BB4332"/>
    <w:rsid w:val="00BC1BC6"/>
    <w:rsid w:val="00BC361F"/>
    <w:rsid w:val="00BC3C09"/>
    <w:rsid w:val="00BC5DC3"/>
    <w:rsid w:val="00BC6CE4"/>
    <w:rsid w:val="00BD2DE6"/>
    <w:rsid w:val="00BD5F74"/>
    <w:rsid w:val="00BE5B06"/>
    <w:rsid w:val="00C03008"/>
    <w:rsid w:val="00C03476"/>
    <w:rsid w:val="00C11C8B"/>
    <w:rsid w:val="00C130FE"/>
    <w:rsid w:val="00C16B07"/>
    <w:rsid w:val="00C21239"/>
    <w:rsid w:val="00C30ACA"/>
    <w:rsid w:val="00C3135E"/>
    <w:rsid w:val="00C34443"/>
    <w:rsid w:val="00C368B6"/>
    <w:rsid w:val="00C43CA5"/>
    <w:rsid w:val="00C47449"/>
    <w:rsid w:val="00C51595"/>
    <w:rsid w:val="00C6434D"/>
    <w:rsid w:val="00C67174"/>
    <w:rsid w:val="00C76105"/>
    <w:rsid w:val="00C7736B"/>
    <w:rsid w:val="00C77F4F"/>
    <w:rsid w:val="00C86271"/>
    <w:rsid w:val="00C90C3F"/>
    <w:rsid w:val="00C93516"/>
    <w:rsid w:val="00C9359A"/>
    <w:rsid w:val="00C94F78"/>
    <w:rsid w:val="00C9769A"/>
    <w:rsid w:val="00CA2511"/>
    <w:rsid w:val="00CA31FB"/>
    <w:rsid w:val="00CA3B2A"/>
    <w:rsid w:val="00CC1E6D"/>
    <w:rsid w:val="00CC2EB9"/>
    <w:rsid w:val="00CD5952"/>
    <w:rsid w:val="00CF17ED"/>
    <w:rsid w:val="00CF54C2"/>
    <w:rsid w:val="00D00811"/>
    <w:rsid w:val="00D00FCD"/>
    <w:rsid w:val="00D048CD"/>
    <w:rsid w:val="00D06DD6"/>
    <w:rsid w:val="00D127C0"/>
    <w:rsid w:val="00D13710"/>
    <w:rsid w:val="00D209EC"/>
    <w:rsid w:val="00D215AF"/>
    <w:rsid w:val="00D246FC"/>
    <w:rsid w:val="00D406F9"/>
    <w:rsid w:val="00D4150C"/>
    <w:rsid w:val="00D470C1"/>
    <w:rsid w:val="00D51425"/>
    <w:rsid w:val="00D61B13"/>
    <w:rsid w:val="00D663B8"/>
    <w:rsid w:val="00D70052"/>
    <w:rsid w:val="00D72925"/>
    <w:rsid w:val="00D74079"/>
    <w:rsid w:val="00D80513"/>
    <w:rsid w:val="00D858E4"/>
    <w:rsid w:val="00D85C3A"/>
    <w:rsid w:val="00D93C5C"/>
    <w:rsid w:val="00DA2C1B"/>
    <w:rsid w:val="00DA3E13"/>
    <w:rsid w:val="00DA5812"/>
    <w:rsid w:val="00DA5D15"/>
    <w:rsid w:val="00DA617D"/>
    <w:rsid w:val="00DA64DE"/>
    <w:rsid w:val="00DB4596"/>
    <w:rsid w:val="00DB5DED"/>
    <w:rsid w:val="00DC0023"/>
    <w:rsid w:val="00DC0C3F"/>
    <w:rsid w:val="00DC49F9"/>
    <w:rsid w:val="00DC6381"/>
    <w:rsid w:val="00DD59FC"/>
    <w:rsid w:val="00DE4BC1"/>
    <w:rsid w:val="00DE5717"/>
    <w:rsid w:val="00DE5B43"/>
    <w:rsid w:val="00DF0754"/>
    <w:rsid w:val="00DF6DD4"/>
    <w:rsid w:val="00DF7EE0"/>
    <w:rsid w:val="00E02D12"/>
    <w:rsid w:val="00E06D5D"/>
    <w:rsid w:val="00E202FC"/>
    <w:rsid w:val="00E279F7"/>
    <w:rsid w:val="00E3445D"/>
    <w:rsid w:val="00E40433"/>
    <w:rsid w:val="00E413B6"/>
    <w:rsid w:val="00E44543"/>
    <w:rsid w:val="00E50481"/>
    <w:rsid w:val="00E530AE"/>
    <w:rsid w:val="00E55A45"/>
    <w:rsid w:val="00E658FE"/>
    <w:rsid w:val="00E670D4"/>
    <w:rsid w:val="00E70B74"/>
    <w:rsid w:val="00E72C7F"/>
    <w:rsid w:val="00E74B52"/>
    <w:rsid w:val="00E75D8C"/>
    <w:rsid w:val="00E815B5"/>
    <w:rsid w:val="00E81CA8"/>
    <w:rsid w:val="00E853B1"/>
    <w:rsid w:val="00E86564"/>
    <w:rsid w:val="00E87D39"/>
    <w:rsid w:val="00E90D66"/>
    <w:rsid w:val="00E92318"/>
    <w:rsid w:val="00E938C5"/>
    <w:rsid w:val="00E944BE"/>
    <w:rsid w:val="00E9539F"/>
    <w:rsid w:val="00EA1C9E"/>
    <w:rsid w:val="00EA317C"/>
    <w:rsid w:val="00EA4BC1"/>
    <w:rsid w:val="00EB429D"/>
    <w:rsid w:val="00EB7352"/>
    <w:rsid w:val="00EC29BA"/>
    <w:rsid w:val="00EC4A4D"/>
    <w:rsid w:val="00EC56A3"/>
    <w:rsid w:val="00ED0F14"/>
    <w:rsid w:val="00ED7908"/>
    <w:rsid w:val="00EE0D8D"/>
    <w:rsid w:val="00EE2B3B"/>
    <w:rsid w:val="00EE5727"/>
    <w:rsid w:val="00EE73C4"/>
    <w:rsid w:val="00EF1BAB"/>
    <w:rsid w:val="00EF1D84"/>
    <w:rsid w:val="00EF5DCE"/>
    <w:rsid w:val="00F04785"/>
    <w:rsid w:val="00F0667A"/>
    <w:rsid w:val="00F1320A"/>
    <w:rsid w:val="00F137A3"/>
    <w:rsid w:val="00F17200"/>
    <w:rsid w:val="00F22549"/>
    <w:rsid w:val="00F22990"/>
    <w:rsid w:val="00F30A63"/>
    <w:rsid w:val="00F34F33"/>
    <w:rsid w:val="00F377C6"/>
    <w:rsid w:val="00F40271"/>
    <w:rsid w:val="00F44686"/>
    <w:rsid w:val="00F50EB7"/>
    <w:rsid w:val="00F56715"/>
    <w:rsid w:val="00F56E90"/>
    <w:rsid w:val="00F61BBC"/>
    <w:rsid w:val="00F673A9"/>
    <w:rsid w:val="00F673E5"/>
    <w:rsid w:val="00F7351F"/>
    <w:rsid w:val="00F76254"/>
    <w:rsid w:val="00F776DE"/>
    <w:rsid w:val="00F8267D"/>
    <w:rsid w:val="00F82A0F"/>
    <w:rsid w:val="00F84E3A"/>
    <w:rsid w:val="00F93F6C"/>
    <w:rsid w:val="00F941F4"/>
    <w:rsid w:val="00FA0105"/>
    <w:rsid w:val="00FA3C16"/>
    <w:rsid w:val="00FA7050"/>
    <w:rsid w:val="00FA7A49"/>
    <w:rsid w:val="00FB0BD1"/>
    <w:rsid w:val="00FB4E2D"/>
    <w:rsid w:val="00FB5649"/>
    <w:rsid w:val="00FB5D82"/>
    <w:rsid w:val="00FC60C8"/>
    <w:rsid w:val="00FC7636"/>
    <w:rsid w:val="00FC7896"/>
    <w:rsid w:val="00FC7EB6"/>
    <w:rsid w:val="00FD1789"/>
    <w:rsid w:val="00FD7F2C"/>
    <w:rsid w:val="00FE0C45"/>
    <w:rsid w:val="00FE25D4"/>
    <w:rsid w:val="00FE5B19"/>
    <w:rsid w:val="00FE6171"/>
    <w:rsid w:val="00FE7DBD"/>
    <w:rsid w:val="00FE7DE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7896"/>
    <w:rPr>
      <w:rFonts w:ascii="Arial" w:hAnsi="Arial"/>
      <w:color w:val="002060"/>
      <w:sz w:val="18"/>
    </w:rPr>
  </w:style>
  <w:style w:type="paragraph" w:styleId="Nadpis1">
    <w:name w:val="heading 1"/>
    <w:basedOn w:val="Normln"/>
    <w:link w:val="Nadpis1Char"/>
    <w:uiPriority w:val="9"/>
    <w:qFormat/>
    <w:rsid w:val="00FC78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23C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3C31"/>
  </w:style>
  <w:style w:type="paragraph" w:styleId="Zpat">
    <w:name w:val="footer"/>
    <w:basedOn w:val="Normln"/>
    <w:link w:val="ZpatChar"/>
    <w:uiPriority w:val="99"/>
    <w:unhideWhenUsed/>
    <w:rsid w:val="00323C31"/>
    <w:pPr>
      <w:tabs>
        <w:tab w:val="center" w:pos="4536"/>
        <w:tab w:val="right" w:pos="9072"/>
      </w:tabs>
      <w:spacing w:after="0" w:line="240" w:lineRule="auto"/>
    </w:pPr>
  </w:style>
  <w:style w:type="character" w:customStyle="1" w:styleId="ZpatChar">
    <w:name w:val="Zápatí Char"/>
    <w:basedOn w:val="Standardnpsmoodstavce"/>
    <w:link w:val="Zpat"/>
    <w:uiPriority w:val="99"/>
    <w:rsid w:val="00323C31"/>
  </w:style>
  <w:style w:type="paragraph" w:styleId="Textbubliny">
    <w:name w:val="Balloon Text"/>
    <w:basedOn w:val="Normln"/>
    <w:link w:val="TextbublinyChar"/>
    <w:uiPriority w:val="99"/>
    <w:semiHidden/>
    <w:unhideWhenUsed/>
    <w:rsid w:val="00323C3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23C31"/>
    <w:rPr>
      <w:rFonts w:ascii="Tahoma" w:hAnsi="Tahoma" w:cs="Tahoma"/>
      <w:sz w:val="16"/>
      <w:szCs w:val="16"/>
    </w:rPr>
  </w:style>
  <w:style w:type="character" w:styleId="Hypertextovodkaz">
    <w:name w:val="Hyperlink"/>
    <w:basedOn w:val="Standardnpsmoodstavce"/>
    <w:uiPriority w:val="99"/>
    <w:unhideWhenUsed/>
    <w:rsid w:val="002F3061"/>
    <w:rPr>
      <w:color w:val="0000FF" w:themeColor="hyperlink"/>
      <w:u w:val="single"/>
    </w:rPr>
  </w:style>
  <w:style w:type="paragraph" w:styleId="Zkladntext">
    <w:name w:val="Body Text"/>
    <w:basedOn w:val="Normln"/>
    <w:link w:val="ZkladntextChar"/>
    <w:rsid w:val="00A631E6"/>
    <w:pPr>
      <w:spacing w:after="0" w:line="240" w:lineRule="auto"/>
    </w:pPr>
    <w:rPr>
      <w:rFonts w:ascii="Times New Roman" w:eastAsia="Times New Roman" w:hAnsi="Times New Roman" w:cs="Times New Roman"/>
      <w:color w:val="000000"/>
      <w:sz w:val="24"/>
      <w:szCs w:val="20"/>
    </w:rPr>
  </w:style>
  <w:style w:type="character" w:customStyle="1" w:styleId="ZkladntextChar">
    <w:name w:val="Základní text Char"/>
    <w:basedOn w:val="Standardnpsmoodstavce"/>
    <w:link w:val="Zkladntext"/>
    <w:rsid w:val="00A631E6"/>
    <w:rPr>
      <w:rFonts w:ascii="Times New Roman" w:eastAsia="Times New Roman" w:hAnsi="Times New Roman" w:cs="Times New Roman"/>
      <w:color w:val="000000"/>
      <w:sz w:val="24"/>
      <w:szCs w:val="20"/>
    </w:rPr>
  </w:style>
  <w:style w:type="character" w:customStyle="1" w:styleId="Nadpis1Char">
    <w:name w:val="Nadpis 1 Char"/>
    <w:basedOn w:val="Standardnpsmoodstavce"/>
    <w:link w:val="Nadpis1"/>
    <w:uiPriority w:val="9"/>
    <w:rsid w:val="00FC7896"/>
    <w:rPr>
      <w:rFonts w:ascii="Times New Roman" w:eastAsia="Times New Roman" w:hAnsi="Times New Roman" w:cs="Times New Roman"/>
      <w:b/>
      <w:bCs/>
      <w:kern w:val="36"/>
      <w:sz w:val="48"/>
      <w:szCs w:val="48"/>
      <w:lang w:eastAsia="cs-CZ"/>
    </w:rPr>
  </w:style>
  <w:style w:type="character" w:customStyle="1" w:styleId="h1a">
    <w:name w:val="h1a"/>
    <w:basedOn w:val="Standardnpsmoodstavce"/>
    <w:rsid w:val="00E44543"/>
  </w:style>
  <w:style w:type="paragraph" w:styleId="Odstavecseseznamem">
    <w:name w:val="List Paragraph"/>
    <w:basedOn w:val="Normln"/>
    <w:uiPriority w:val="34"/>
    <w:qFormat/>
    <w:rsid w:val="00463BB5"/>
    <w:pPr>
      <w:ind w:left="720"/>
      <w:contextualSpacing/>
    </w:pPr>
  </w:style>
  <w:style w:type="character" w:styleId="Siln">
    <w:name w:val="Strong"/>
    <w:uiPriority w:val="22"/>
    <w:qFormat/>
    <w:rsid w:val="00BC6CE4"/>
    <w:rPr>
      <w:b/>
      <w:bCs/>
    </w:rPr>
  </w:style>
  <w:style w:type="character" w:customStyle="1" w:styleId="fontstyle01">
    <w:name w:val="fontstyle01"/>
    <w:rsid w:val="00BC6CE4"/>
    <w:rPr>
      <w:rFonts w:ascii="TimesNewRoman" w:hAnsi="TimesNewRoman" w:hint="default"/>
      <w:b w:val="0"/>
      <w:bCs w:val="0"/>
      <w:i w:val="0"/>
      <w:iCs w:val="0"/>
      <w:color w:val="000000"/>
      <w:sz w:val="22"/>
      <w:szCs w:val="22"/>
    </w:rPr>
  </w:style>
  <w:style w:type="character" w:customStyle="1" w:styleId="hgkelc">
    <w:name w:val="hgkelc"/>
    <w:basedOn w:val="Standardnpsmoodstavce"/>
    <w:rsid w:val="001923DE"/>
  </w:style>
  <w:style w:type="paragraph" w:customStyle="1" w:styleId="Default">
    <w:name w:val="Default"/>
    <w:rsid w:val="00073FF2"/>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Zvraznn">
    <w:name w:val="Emphasis"/>
    <w:basedOn w:val="Standardnpsmoodstavce"/>
    <w:uiPriority w:val="20"/>
    <w:qFormat/>
    <w:rsid w:val="008A4025"/>
    <w:rPr>
      <w:i/>
      <w:iCs/>
    </w:rPr>
  </w:style>
</w:styles>
</file>

<file path=word/webSettings.xml><?xml version="1.0" encoding="utf-8"?>
<w:webSettings xmlns:r="http://schemas.openxmlformats.org/officeDocument/2006/relationships" xmlns:w="http://schemas.openxmlformats.org/wordprocessingml/2006/main">
  <w:divs>
    <w:div w:id="7566897">
      <w:bodyDiv w:val="1"/>
      <w:marLeft w:val="0"/>
      <w:marRight w:val="0"/>
      <w:marTop w:val="0"/>
      <w:marBottom w:val="0"/>
      <w:divBdr>
        <w:top w:val="none" w:sz="0" w:space="0" w:color="auto"/>
        <w:left w:val="none" w:sz="0" w:space="0" w:color="auto"/>
        <w:bottom w:val="none" w:sz="0" w:space="0" w:color="auto"/>
        <w:right w:val="none" w:sz="0" w:space="0" w:color="auto"/>
      </w:divBdr>
    </w:div>
    <w:div w:id="123929154">
      <w:bodyDiv w:val="1"/>
      <w:marLeft w:val="0"/>
      <w:marRight w:val="0"/>
      <w:marTop w:val="0"/>
      <w:marBottom w:val="0"/>
      <w:divBdr>
        <w:top w:val="none" w:sz="0" w:space="0" w:color="auto"/>
        <w:left w:val="none" w:sz="0" w:space="0" w:color="auto"/>
        <w:bottom w:val="none" w:sz="0" w:space="0" w:color="auto"/>
        <w:right w:val="none" w:sz="0" w:space="0" w:color="auto"/>
      </w:divBdr>
    </w:div>
    <w:div w:id="191916941">
      <w:bodyDiv w:val="1"/>
      <w:marLeft w:val="0"/>
      <w:marRight w:val="0"/>
      <w:marTop w:val="0"/>
      <w:marBottom w:val="0"/>
      <w:divBdr>
        <w:top w:val="none" w:sz="0" w:space="0" w:color="auto"/>
        <w:left w:val="none" w:sz="0" w:space="0" w:color="auto"/>
        <w:bottom w:val="none" w:sz="0" w:space="0" w:color="auto"/>
        <w:right w:val="none" w:sz="0" w:space="0" w:color="auto"/>
      </w:divBdr>
    </w:div>
    <w:div w:id="362440862">
      <w:bodyDiv w:val="1"/>
      <w:marLeft w:val="0"/>
      <w:marRight w:val="0"/>
      <w:marTop w:val="0"/>
      <w:marBottom w:val="0"/>
      <w:divBdr>
        <w:top w:val="none" w:sz="0" w:space="0" w:color="auto"/>
        <w:left w:val="none" w:sz="0" w:space="0" w:color="auto"/>
        <w:bottom w:val="none" w:sz="0" w:space="0" w:color="auto"/>
        <w:right w:val="none" w:sz="0" w:space="0" w:color="auto"/>
      </w:divBdr>
    </w:div>
    <w:div w:id="399522165">
      <w:bodyDiv w:val="1"/>
      <w:marLeft w:val="0"/>
      <w:marRight w:val="0"/>
      <w:marTop w:val="0"/>
      <w:marBottom w:val="0"/>
      <w:divBdr>
        <w:top w:val="none" w:sz="0" w:space="0" w:color="auto"/>
        <w:left w:val="none" w:sz="0" w:space="0" w:color="auto"/>
        <w:bottom w:val="none" w:sz="0" w:space="0" w:color="auto"/>
        <w:right w:val="none" w:sz="0" w:space="0" w:color="auto"/>
      </w:divBdr>
    </w:div>
    <w:div w:id="445078162">
      <w:bodyDiv w:val="1"/>
      <w:marLeft w:val="0"/>
      <w:marRight w:val="0"/>
      <w:marTop w:val="0"/>
      <w:marBottom w:val="0"/>
      <w:divBdr>
        <w:top w:val="none" w:sz="0" w:space="0" w:color="auto"/>
        <w:left w:val="none" w:sz="0" w:space="0" w:color="auto"/>
        <w:bottom w:val="none" w:sz="0" w:space="0" w:color="auto"/>
        <w:right w:val="none" w:sz="0" w:space="0" w:color="auto"/>
      </w:divBdr>
    </w:div>
    <w:div w:id="550000684">
      <w:bodyDiv w:val="1"/>
      <w:marLeft w:val="0"/>
      <w:marRight w:val="0"/>
      <w:marTop w:val="0"/>
      <w:marBottom w:val="0"/>
      <w:divBdr>
        <w:top w:val="none" w:sz="0" w:space="0" w:color="auto"/>
        <w:left w:val="none" w:sz="0" w:space="0" w:color="auto"/>
        <w:bottom w:val="none" w:sz="0" w:space="0" w:color="auto"/>
        <w:right w:val="none" w:sz="0" w:space="0" w:color="auto"/>
      </w:divBdr>
    </w:div>
    <w:div w:id="662663366">
      <w:bodyDiv w:val="1"/>
      <w:marLeft w:val="0"/>
      <w:marRight w:val="0"/>
      <w:marTop w:val="0"/>
      <w:marBottom w:val="0"/>
      <w:divBdr>
        <w:top w:val="none" w:sz="0" w:space="0" w:color="auto"/>
        <w:left w:val="none" w:sz="0" w:space="0" w:color="auto"/>
        <w:bottom w:val="none" w:sz="0" w:space="0" w:color="auto"/>
        <w:right w:val="none" w:sz="0" w:space="0" w:color="auto"/>
      </w:divBdr>
    </w:div>
    <w:div w:id="711348734">
      <w:bodyDiv w:val="1"/>
      <w:marLeft w:val="0"/>
      <w:marRight w:val="0"/>
      <w:marTop w:val="0"/>
      <w:marBottom w:val="0"/>
      <w:divBdr>
        <w:top w:val="none" w:sz="0" w:space="0" w:color="auto"/>
        <w:left w:val="none" w:sz="0" w:space="0" w:color="auto"/>
        <w:bottom w:val="none" w:sz="0" w:space="0" w:color="auto"/>
        <w:right w:val="none" w:sz="0" w:space="0" w:color="auto"/>
      </w:divBdr>
    </w:div>
    <w:div w:id="717818808">
      <w:bodyDiv w:val="1"/>
      <w:marLeft w:val="0"/>
      <w:marRight w:val="0"/>
      <w:marTop w:val="0"/>
      <w:marBottom w:val="0"/>
      <w:divBdr>
        <w:top w:val="none" w:sz="0" w:space="0" w:color="auto"/>
        <w:left w:val="none" w:sz="0" w:space="0" w:color="auto"/>
        <w:bottom w:val="none" w:sz="0" w:space="0" w:color="auto"/>
        <w:right w:val="none" w:sz="0" w:space="0" w:color="auto"/>
      </w:divBdr>
    </w:div>
    <w:div w:id="900168640">
      <w:bodyDiv w:val="1"/>
      <w:marLeft w:val="0"/>
      <w:marRight w:val="0"/>
      <w:marTop w:val="0"/>
      <w:marBottom w:val="0"/>
      <w:divBdr>
        <w:top w:val="none" w:sz="0" w:space="0" w:color="auto"/>
        <w:left w:val="none" w:sz="0" w:space="0" w:color="auto"/>
        <w:bottom w:val="none" w:sz="0" w:space="0" w:color="auto"/>
        <w:right w:val="none" w:sz="0" w:space="0" w:color="auto"/>
      </w:divBdr>
    </w:div>
    <w:div w:id="982269725">
      <w:bodyDiv w:val="1"/>
      <w:marLeft w:val="0"/>
      <w:marRight w:val="0"/>
      <w:marTop w:val="0"/>
      <w:marBottom w:val="0"/>
      <w:divBdr>
        <w:top w:val="none" w:sz="0" w:space="0" w:color="auto"/>
        <w:left w:val="none" w:sz="0" w:space="0" w:color="auto"/>
        <w:bottom w:val="none" w:sz="0" w:space="0" w:color="auto"/>
        <w:right w:val="none" w:sz="0" w:space="0" w:color="auto"/>
      </w:divBdr>
    </w:div>
    <w:div w:id="1010722592">
      <w:bodyDiv w:val="1"/>
      <w:marLeft w:val="0"/>
      <w:marRight w:val="0"/>
      <w:marTop w:val="0"/>
      <w:marBottom w:val="0"/>
      <w:divBdr>
        <w:top w:val="none" w:sz="0" w:space="0" w:color="auto"/>
        <w:left w:val="none" w:sz="0" w:space="0" w:color="auto"/>
        <w:bottom w:val="none" w:sz="0" w:space="0" w:color="auto"/>
        <w:right w:val="none" w:sz="0" w:space="0" w:color="auto"/>
      </w:divBdr>
    </w:div>
    <w:div w:id="1014574510">
      <w:bodyDiv w:val="1"/>
      <w:marLeft w:val="0"/>
      <w:marRight w:val="0"/>
      <w:marTop w:val="0"/>
      <w:marBottom w:val="0"/>
      <w:divBdr>
        <w:top w:val="none" w:sz="0" w:space="0" w:color="auto"/>
        <w:left w:val="none" w:sz="0" w:space="0" w:color="auto"/>
        <w:bottom w:val="none" w:sz="0" w:space="0" w:color="auto"/>
        <w:right w:val="none" w:sz="0" w:space="0" w:color="auto"/>
      </w:divBdr>
    </w:div>
    <w:div w:id="1038555859">
      <w:bodyDiv w:val="1"/>
      <w:marLeft w:val="0"/>
      <w:marRight w:val="0"/>
      <w:marTop w:val="0"/>
      <w:marBottom w:val="0"/>
      <w:divBdr>
        <w:top w:val="none" w:sz="0" w:space="0" w:color="auto"/>
        <w:left w:val="none" w:sz="0" w:space="0" w:color="auto"/>
        <w:bottom w:val="none" w:sz="0" w:space="0" w:color="auto"/>
        <w:right w:val="none" w:sz="0" w:space="0" w:color="auto"/>
      </w:divBdr>
    </w:div>
    <w:div w:id="1098791121">
      <w:bodyDiv w:val="1"/>
      <w:marLeft w:val="0"/>
      <w:marRight w:val="0"/>
      <w:marTop w:val="0"/>
      <w:marBottom w:val="0"/>
      <w:divBdr>
        <w:top w:val="none" w:sz="0" w:space="0" w:color="auto"/>
        <w:left w:val="none" w:sz="0" w:space="0" w:color="auto"/>
        <w:bottom w:val="none" w:sz="0" w:space="0" w:color="auto"/>
        <w:right w:val="none" w:sz="0" w:space="0" w:color="auto"/>
      </w:divBdr>
    </w:div>
    <w:div w:id="1144931631">
      <w:bodyDiv w:val="1"/>
      <w:marLeft w:val="0"/>
      <w:marRight w:val="0"/>
      <w:marTop w:val="0"/>
      <w:marBottom w:val="0"/>
      <w:divBdr>
        <w:top w:val="none" w:sz="0" w:space="0" w:color="auto"/>
        <w:left w:val="none" w:sz="0" w:space="0" w:color="auto"/>
        <w:bottom w:val="none" w:sz="0" w:space="0" w:color="auto"/>
        <w:right w:val="none" w:sz="0" w:space="0" w:color="auto"/>
      </w:divBdr>
    </w:div>
    <w:div w:id="1230119485">
      <w:bodyDiv w:val="1"/>
      <w:marLeft w:val="0"/>
      <w:marRight w:val="0"/>
      <w:marTop w:val="0"/>
      <w:marBottom w:val="0"/>
      <w:divBdr>
        <w:top w:val="none" w:sz="0" w:space="0" w:color="auto"/>
        <w:left w:val="none" w:sz="0" w:space="0" w:color="auto"/>
        <w:bottom w:val="none" w:sz="0" w:space="0" w:color="auto"/>
        <w:right w:val="none" w:sz="0" w:space="0" w:color="auto"/>
      </w:divBdr>
    </w:div>
    <w:div w:id="1304504052">
      <w:bodyDiv w:val="1"/>
      <w:marLeft w:val="0"/>
      <w:marRight w:val="0"/>
      <w:marTop w:val="0"/>
      <w:marBottom w:val="0"/>
      <w:divBdr>
        <w:top w:val="none" w:sz="0" w:space="0" w:color="auto"/>
        <w:left w:val="none" w:sz="0" w:space="0" w:color="auto"/>
        <w:bottom w:val="none" w:sz="0" w:space="0" w:color="auto"/>
        <w:right w:val="none" w:sz="0" w:space="0" w:color="auto"/>
      </w:divBdr>
    </w:div>
    <w:div w:id="1485582690">
      <w:bodyDiv w:val="1"/>
      <w:marLeft w:val="0"/>
      <w:marRight w:val="0"/>
      <w:marTop w:val="0"/>
      <w:marBottom w:val="0"/>
      <w:divBdr>
        <w:top w:val="none" w:sz="0" w:space="0" w:color="auto"/>
        <w:left w:val="none" w:sz="0" w:space="0" w:color="auto"/>
        <w:bottom w:val="none" w:sz="0" w:space="0" w:color="auto"/>
        <w:right w:val="none" w:sz="0" w:space="0" w:color="auto"/>
      </w:divBdr>
    </w:div>
    <w:div w:id="1499729282">
      <w:bodyDiv w:val="1"/>
      <w:marLeft w:val="0"/>
      <w:marRight w:val="0"/>
      <w:marTop w:val="0"/>
      <w:marBottom w:val="0"/>
      <w:divBdr>
        <w:top w:val="none" w:sz="0" w:space="0" w:color="auto"/>
        <w:left w:val="none" w:sz="0" w:space="0" w:color="auto"/>
        <w:bottom w:val="none" w:sz="0" w:space="0" w:color="auto"/>
        <w:right w:val="none" w:sz="0" w:space="0" w:color="auto"/>
      </w:divBdr>
    </w:div>
    <w:div w:id="1682120302">
      <w:bodyDiv w:val="1"/>
      <w:marLeft w:val="0"/>
      <w:marRight w:val="0"/>
      <w:marTop w:val="0"/>
      <w:marBottom w:val="0"/>
      <w:divBdr>
        <w:top w:val="none" w:sz="0" w:space="0" w:color="auto"/>
        <w:left w:val="none" w:sz="0" w:space="0" w:color="auto"/>
        <w:bottom w:val="none" w:sz="0" w:space="0" w:color="auto"/>
        <w:right w:val="none" w:sz="0" w:space="0" w:color="auto"/>
      </w:divBdr>
    </w:div>
    <w:div w:id="1710955991">
      <w:bodyDiv w:val="1"/>
      <w:marLeft w:val="0"/>
      <w:marRight w:val="0"/>
      <w:marTop w:val="0"/>
      <w:marBottom w:val="0"/>
      <w:divBdr>
        <w:top w:val="none" w:sz="0" w:space="0" w:color="auto"/>
        <w:left w:val="none" w:sz="0" w:space="0" w:color="auto"/>
        <w:bottom w:val="none" w:sz="0" w:space="0" w:color="auto"/>
        <w:right w:val="none" w:sz="0" w:space="0" w:color="auto"/>
      </w:divBdr>
    </w:div>
    <w:div w:id="1848641887">
      <w:bodyDiv w:val="1"/>
      <w:marLeft w:val="0"/>
      <w:marRight w:val="0"/>
      <w:marTop w:val="0"/>
      <w:marBottom w:val="0"/>
      <w:divBdr>
        <w:top w:val="none" w:sz="0" w:space="0" w:color="auto"/>
        <w:left w:val="none" w:sz="0" w:space="0" w:color="auto"/>
        <w:bottom w:val="none" w:sz="0" w:space="0" w:color="auto"/>
        <w:right w:val="none" w:sz="0" w:space="0" w:color="auto"/>
      </w:divBdr>
    </w:div>
    <w:div w:id="2001695996">
      <w:bodyDiv w:val="1"/>
      <w:marLeft w:val="0"/>
      <w:marRight w:val="0"/>
      <w:marTop w:val="0"/>
      <w:marBottom w:val="0"/>
      <w:divBdr>
        <w:top w:val="none" w:sz="0" w:space="0" w:color="auto"/>
        <w:left w:val="none" w:sz="0" w:space="0" w:color="auto"/>
        <w:bottom w:val="none" w:sz="0" w:space="0" w:color="auto"/>
        <w:right w:val="none" w:sz="0" w:space="0" w:color="auto"/>
      </w:divBdr>
    </w:div>
    <w:div w:id="2021613746">
      <w:bodyDiv w:val="1"/>
      <w:marLeft w:val="0"/>
      <w:marRight w:val="0"/>
      <w:marTop w:val="0"/>
      <w:marBottom w:val="0"/>
      <w:divBdr>
        <w:top w:val="none" w:sz="0" w:space="0" w:color="auto"/>
        <w:left w:val="none" w:sz="0" w:space="0" w:color="auto"/>
        <w:bottom w:val="none" w:sz="0" w:space="0" w:color="auto"/>
        <w:right w:val="none" w:sz="0" w:space="0" w:color="auto"/>
      </w:divBdr>
    </w:div>
    <w:div w:id="2104102089">
      <w:bodyDiv w:val="1"/>
      <w:marLeft w:val="0"/>
      <w:marRight w:val="0"/>
      <w:marTop w:val="0"/>
      <w:marBottom w:val="0"/>
      <w:divBdr>
        <w:top w:val="none" w:sz="0" w:space="0" w:color="auto"/>
        <w:left w:val="none" w:sz="0" w:space="0" w:color="auto"/>
        <w:bottom w:val="none" w:sz="0" w:space="0" w:color="auto"/>
        <w:right w:val="none" w:sz="0" w:space="0" w:color="auto"/>
      </w:divBdr>
    </w:div>
    <w:div w:id="21366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el.cz/norma/109060/ochrana-pred-urazem-elektrickym-proudem-spolecna-hlediska-pro-instalaci-a-zarizeni" TargetMode="External"/><Relationship Id="rId13" Type="http://schemas.openxmlformats.org/officeDocument/2006/relationships/hyperlink" Target="https://cs.wikipedia.org/wiki/Etnikum" TargetMode="External"/><Relationship Id="rId18" Type="http://schemas.openxmlformats.org/officeDocument/2006/relationships/hyperlink" Target="https://cs.wikipedia.org/wiki/Lidsk%C3%A1_ras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s.wikipedia.org/wiki/N%C3%A1rodnost" TargetMode="External"/><Relationship Id="rId17" Type="http://schemas.openxmlformats.org/officeDocument/2006/relationships/hyperlink" Target="https://cs.wikipedia.org/wiki/Politika" TargetMode="External"/><Relationship Id="rId2" Type="http://schemas.openxmlformats.org/officeDocument/2006/relationships/numbering" Target="numbering.xml"/><Relationship Id="rId16" Type="http://schemas.openxmlformats.org/officeDocument/2006/relationships/hyperlink" Target="https://cs.wikipedia.org/wiki/Sexu%C3%A1ln%C3%AD_orienta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wikipedia.org/wiki/Pohlavnost" TargetMode="External"/><Relationship Id="rId5" Type="http://schemas.openxmlformats.org/officeDocument/2006/relationships/webSettings" Target="webSettings.xml"/><Relationship Id="rId15" Type="http://schemas.openxmlformats.org/officeDocument/2006/relationships/hyperlink" Target="https://cs.wikipedia.org/wiki/N%C3%A1bo%C5%BEenstv%C3%AD" TargetMode="External"/><Relationship Id="rId23" Type="http://schemas.openxmlformats.org/officeDocument/2006/relationships/theme" Target="theme/theme1.xml"/><Relationship Id="rId10" Type="http://schemas.openxmlformats.org/officeDocument/2006/relationships/hyperlink" Target="https://cs.wikipedia.org/wiki/Ob%C4%8Danstv%C3%AD" TargetMode="External"/><Relationship Id="rId19" Type="http://schemas.openxmlformats.org/officeDocument/2006/relationships/hyperlink" Target="https://cs.wikipedia.org/wiki/Soci%C3%A1ln%C3%AD_status" TargetMode="External"/><Relationship Id="rId4" Type="http://schemas.openxmlformats.org/officeDocument/2006/relationships/settings" Target="settings.xml"/><Relationship Id="rId9" Type="http://schemas.openxmlformats.org/officeDocument/2006/relationships/hyperlink" Target="https://cs.wikipedia.org/wiki/%C4%8Clov%C4%9Bk" TargetMode="External"/><Relationship Id="rId14" Type="http://schemas.openxmlformats.org/officeDocument/2006/relationships/hyperlink" Target="https://cs.wikipedia.org/wiki/Ob%C4%8Danstv%C3%AD"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99475-174B-4B1C-A005-CDE208261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5</Pages>
  <Words>1707</Words>
  <Characters>10076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TX-T3600</dc:creator>
  <cp:lastModifiedBy>TX-T3600</cp:lastModifiedBy>
  <cp:revision>590</cp:revision>
  <cp:lastPrinted>2025-04-21T15:35:00Z</cp:lastPrinted>
  <dcterms:created xsi:type="dcterms:W3CDTF">2024-01-12T05:12:00Z</dcterms:created>
  <dcterms:modified xsi:type="dcterms:W3CDTF">2025-09-03T11:50:00Z</dcterms:modified>
</cp:coreProperties>
</file>